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E-2783/2023 vom 9. Juni 2023</w:t>
      </w:r>
    </w:p>
    <w:p>
      <w:r>
        <w:t>Bundesverwaltungsgericht, 2023-06-09, DE</w:t>
      </w:r>
    </w:p>
    <w:p>
      <w:r>
        <w:rPr>
          <w:b/>
        </w:rPr>
        <w:t xml:space="preserve">Quelle: </w:t>
      </w:r>
      <w:r>
        <w:t>https://mcp.opencaselaw.ch/entscheid/bvger_E-2783_2023</w:t>
      </w:r>
    </w:p>
    <w:p>
      <w:r>
        <w:t>FR: TAF E-2783/2023 du 9 juin 2023</w:t>
      </w:r>
    </w:p>
    <w:p>
      <w:r>
        <w:t>IT: TAF E-2783/2023 del 9 giugno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auf einen Schriftenwechsel verzichtet.</w:t>
      </w:r>
    </w:p>
    <w:p>
      <w:r>
        <w:rPr>
          <w:b/>
        </w:rPr>
        <w:t>E. 3.1</w:t>
      </w:r>
    </w:p>
    <w:p>
      <w:r>
        <w:t>Die Beschwerdeführenden rügten in formeller Hinsicht eine Verletzung des Untersuchungsgrundsatzes respektive den Anspruch auf rechtliches Gehör. Das SEM habe den entscheidrelevanten medizinischen Sachverhalt im Hinblick auf die Frage, ob die geplante Überstellung nach Kroatien völkerrechtskonform im Sinne von Art. 3 EMRK und Art. 3 KRK sei, nicht rechtsgenügend erstellt. Diese Rüge ist vorab zu prüfen, da sie allenfalls geeignet ist, die Kassation der angefochtenen Verfügung zu bewirken.</w:t>
      </w:r>
    </w:p>
    <w:p>
      <w:r>
        <w:rPr>
          <w:b/>
        </w:rPr>
        <w:t>E. 3.2</w:t>
      </w:r>
    </w:p>
    <w:p>
      <w:r>
        <w:t>Der Rüge der Beschwerdeführenden ist nicht zu folgen. Das SEM hielt in der angefochtenen Verfügung im Rahmen der ausführlichen Würdigung der gesundheitlichen Probleme der Beschwerdeführenden zutreffend fest, dass der entscheidrelevante medizinische Sachverhalt ausreichend erstellt sei. Die im Entscheidzeitpunkt vorliegenden Arztberichte sowie die zusätzlich aktenkundigen Informationen und Nachfragen des SEM beim Gesundheitsdienst des BAZ F._______ (vgl. vorinstanzliche Akten [...]-40/4 [nachfolgend: act. 40], act. 41-44) erlaubten die rechtsgenügende Prüfung der Zulässigkeit und Zumutbarkeit einer Überstellung nach Kroatien. Hierfür spricht auch, dass der im Zeitpunkt des Asylentscheids noch ausstehende und mit der Beschwerde eingereichte psychiatrisch-psychologische Abklärungsbericht die bereits bekannten Verdachtsdiagnosen von D._______ bestätigte und keine wesentlich neuen Informationen / Diagnosen beinhaltete. Ob das SEM die entsprechenden Berichte korrekt gewürdigt hat, ist eine materielle Frage und beschlägt nicht die formelle Korrektheit des Asylentscheids.</w:t>
      </w:r>
    </w:p>
    <w:p>
      <w:r>
        <w:rPr>
          <w:b/>
        </w:rPr>
        <w:t>E. 3.3</w:t>
      </w:r>
    </w:p>
    <w:p>
      <w:r>
        <w:t>Nach dem Gesagten besteht kein Anlass, die angefochtene Verfügung aus formellen Gründen aufzuheben. Das Gericht hat demnach materiell über die vorliegende Beschwerde zu entscheiden.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 hier interessierenden -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4.4</w:t>
      </w:r>
    </w:p>
    <w:p>
      <w:r>
        <w:t>Ein Abgleich der Fingerabdrücke der Beschwerdeführenden mit der Eurodac-Datenbank ergab, dass sie am 6. März 2023 in Kroatien Asylgesuche eingereicht hatten. Die kroatischen Behörden stimmten dem Gesuch des SEM um Rückübernahme der Beschwerdeführenden zu. Die grundsätzliche Zuständigkeit Kroatiens wird von den Beschwerdeführenden denn auch nicht unbestritten. Die Zuständigkeit Kroatiens ist somit gegeben.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Nachfolgend ist daher zu prüfen, ob das Asylverfahren und die Aufnahmebedingungen für Asylsuchende in Kroatien systemische Schwachstellen aufweisen.</w:t>
      </w:r>
    </w:p>
    <w:p>
      <w:r>
        <w:rPr>
          <w:b/>
        </w:rPr>
        <w:t>E. 5.2</w:t>
      </w:r>
    </w:p>
    <w:p>
      <w:r>
        <w:t>Im Referenzurteil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geht hierbei davon aus, dass nicht zu befürchten sei, Dublin-Rückkehrende würden ohne Eröffnung und Durchführung eines Asylverfahrens aus Kroatien rechtswidrig ausgeschafft. Auch liessen sich keine Anzeichen dafür finden, wonach take charge-Fälle diesbezüglich anders zu beurteilen wären als take back-Fälle,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würden, unabhängig davon, ob die gesuchstellende Person im Rahmen eines take charge oder take back Verfahrens überstellt werde. Insbesondere bestehe keine beachtliche Wahrscheinlichkeit, die Überstellten würden der Gefahr einer Verletzung ihrer aus dem Refoulement-Verbot fliessenden Rechte ausgesetzt werden (vgl. a.a.O. E. 9.5).</w:t>
      </w:r>
    </w:p>
    <w:p>
      <w:r>
        <w:rPr>
          <w:b/>
        </w:rPr>
        <w:t>E. 5.3</w:t>
      </w:r>
    </w:p>
    <w:p>
      <w:r>
        <w:t>Auch unter Berücksichtigung der von den Beschwerdeführenden anlässlich des Dublin-Gesprächs und in der Beschwerde geltend gemachten Vorkommnisse (sie seien stundenlang in einen Container eingesperrt worden ohne Zugang zu Essen, Trinken, ärztlicher Versorgung oder sanitären Anlagen zu erhalten; die Abnahme der Fingerabdrücke sei unter Zwang erfolgt, wobei der Beschwerdeführer von einem Beamten geschlagen worden sei) sowie des in der Beschwerde angeführten Berichts der Schweizerischen Flüchtlingshilfe (SFH) vom Dezember 2021 ist nicht davon auszugehen, Kroatien als Signatarstaat der EMRK, der FoK, der FK sowie des Zusatzprotokolls der FK vom 31. Januar 1967 (SR 0.142.301) verstosse systematisch gegen seine vertraglichen (völkerrechtlichen) Verpflichtungen. Es darf davon ausgegangen werden, Kroatien anerkenne und schütze die Rechte, die sich für Schutzsuchende aus der Verfahrensrichtlinie sowie der Aufnahmerichtlinie ergeben. Die von den Beschwerdeführenden für die Zeit ihres lediglich rund eintägigen Aufenthalts in Kroatien behauptete schlechte Behandlung und Unterbringungssituation rechtfertigen nicht, davon auszugehen, dass sie bei einer Rückkehr mit hoher Wahrscheinlichkeit Opfer einer unmenschlichen oder erniedrigenden Behandlung im Sinne von Art. 3 EMRK, Art. 3 FoK oder Art. 4 EU-Grundrechtecharte würden. Bei Fehlverhalten einzelner Beamter könnten sie sich zudem an die zuständigen kroatischen Stellen wenden. Es ist auch nicht davon auszugehen, dass sie bei einer Wegweisung nach Kroatien in eine existenzielle Notlage geraten könnten. Die Beschwerdeausführungen vermögen an der geltenden und aktualisierten Praxis des Bundesverwaltungsgerichts (vgl. vorstehend E. 5.2) somit nichts zu ändern.</w:t>
      </w:r>
    </w:p>
    <w:p>
      <w:r>
        <w:rPr>
          <w:b/>
        </w:rPr>
        <w:t>E. 5.4</w:t>
      </w:r>
    </w:p>
    <w:p>
      <w:r>
        <w:t>Unter diesen Umständen ist die Anwendung von Art. 3 Abs. 2 Dublin-III-VO nicht gerechtfertigt.</w:t>
      </w:r>
    </w:p>
    <w:p>
      <w:r>
        <w:rPr>
          <w:b/>
        </w:rPr>
        <w:t>E. 6.1</w:t>
      </w:r>
    </w:p>
    <w:p>
      <w:r>
        <w:t>Die Beschwerdeführenden beantragen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6.2</w:t>
      </w:r>
    </w:p>
    <w:p>
      <w:r>
        <w:t>Das Bundesverwaltungsgericht verkennt aufgrund der von den Beschwerdeführenden im Dublin-Gespräch geschilderten Erlebnisse nicht, dass der Empfang und die Aufnahmebedingungen für Asylsuchende in Kroatien problematisch sein können. Sie vermögen indessen nicht darzutun, dass die sie bei einer Rückführung nach Kroatien zu erwartenden Bedingungen derart schlecht sind, dass sie zu einer Verletzung von Art. 4 der EU-Grundrechtecharta, Art. 3 EMRK oder Art. 3 FoK führen könnten. Sie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Sie werden im Rahmen der Dublin-III-VO nach Kroatien überstellt und direkt in ein Zentrum gebracht. Die Lage an der Grenze ist nicht vergleichbar mit der Situation, in der sie sich bei einer Überstellung im Rahmen des Dublin-Verfahrens befinden werden. Sie haben auch keine konkreten Hinweise für die Annahme dargetan, Kroatien würde ihnen dauerhaft die ihnen gemäss Aufnahmerichtlinie zustehenden minimalen Lebensbedingungen vorenthalten, zumal sie nach lediglich einer Nacht in einem Zentrum aus Kroatien ausgereist seien, wobei sie hinsichtlich des Aufenthalts in diesem Zentrum weder im Dublin-Gespräch noch in der Beschwerde Negatives zu berichten hatten. Es obliegt den kroatischen Behörden im Rahmen der von ihnen eingegangenen Verpflichtungen, Familien mit Kindern und besonderen Bedürfnissen rechtskonform unterzubringen und zu betreuen (vgl. Urteil des BVGer F-3957/2022 vom 11. Oktober 2022 E. 6.4). Es liegen keine Hinweise vor, dass die kroatischen Behörden dieser Verpflichtung nicht nachkommen würden. Bei einer allfälligen vorübergehenden Einschränkung könnten sie sich im Übrigen nötigenfalls an die kroatischen Behörden wenden und die ihnen zustehenden Aufnahmebedingungen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w:t>
      </w:r>
    </w:p>
    <w:p>
      <w:r>
        <w:rPr>
          <w:b/>
        </w:rPr>
        <w:t>E. 6.3</w:t>
      </w:r>
    </w:p>
    <w:p>
      <w:r>
        <w:t>Die Beschwerdeführenden berufen sich darauf, ihr Gesundheitszustand stehe einer Überstellung entgegen; die Überstellung nach Kroatien setze sie einer Gefahr für ihre Gesundheit aus und verletze damit Art. 3 EMRK.</w:t>
      </w:r>
    </w:p>
    <w:p>
      <w:r>
        <w:rPr>
          <w:b/>
        </w:rPr>
        <w:t>E. 6.3.1</w:t>
      </w:r>
    </w:p>
    <w:p>
      <w:r>
        <w:t>Eine zwangsweise Rückweisung von Personen mit gesundheitlichen Problemen kann nur ganz ausnahmsweise einen Verstoss gegen Art. 3 EMRK darstellen. Dies ist insbesondere dann der Fall, wenn Schwerkranke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w:t>
      </w:r>
    </w:p>
    <w:p>
      <w:r>
        <w:rPr>
          <w:b/>
        </w:rPr>
        <w:t>E. 6.3.2</w:t>
      </w:r>
    </w:p>
    <w:p>
      <w:r>
        <w:t>Die Vorinstanz hat in der angefochtenen Verfügung die im Verfügungszeitpunkt bekannten medizinischen Probleme der Beschwerdeführenden zutreffend und ausführlich wiedergegeben. Zur Vermeidung von Wiederholungen kann daher auf die entsprechenden Erwägungen verwiesen werden (vgl. a.a.O. S. 6 f.). Mit der Beschwerde reichten sie überdies einen psychiatrisch-psychologischen Abklärungsbericht der G._______ vom (...) Mai 2023 betreffend die Kinder ein. Diesem Bericht ist im Wesentlichen Folgendes zu entnehmen: Bei D._______ wurden eine (...) (Klassifikation gemäss ICD-10 [...]) sowie ein Verdacht auf (...) diagnostiziert. Weiter wurden (...) sowie eine (...) festgestellt. Gemäss der «Familienanamnese» bestünden sodann Hinweise für eine (...) bei den Kindseltern. Aus den Gesprächen mit den Eltern und den Untersuchungen von D._______ sowie seiner Geschwister ergebe sich, dass die Kinder - nebst den Eltern - aufgrund ihrer Erfahrungen während der Flucht (...) seien. In Anbetracht der sehr belastenden aufenthaltsrechtlichen Situation seien die Eltern und insbesondere die Kinder in ihrer Entwicklung massiv gefährdet. Die Beschwerdeführerin habe im Gespräch mehrmals suizidale Äusserungen bei hoch erlebter Hoffnungslosigkeit gemacht. Die Familie sei dringend auf ein sicheres und orientierendes Umfeld angewiesen. Voraussetzung für einen Behandlungsversuch sei eine ausreichende stabile soziale sowie sichere Umgebung, die zurzeit aufgrund der drohenden Abschiebung nicht gegeben erscheine. Die Ärzte empfehlen eine ambulante psychotherapeutische Behandlung der Kinder, eine aufsuchende therapeutische Begleitung (z.B. durch psychiatrische Spitex), eine psycho- oder soziotherapeutische Begleitung der Eltern hinsichtlich der weiteren Entwicklung sowie gegebenenfalls befristete medikamentöse Unterstützung zum Umgang mit Angst- und Anspannungszuständen in Begleitung eines Facharztes / einer Fachärztin für Kinder- und Jugendpsychiatrie und -psychotherapie.</w:t>
      </w:r>
    </w:p>
    <w:p>
      <w:r>
        <w:rPr>
          <w:b/>
        </w:rPr>
        <w:t>E. 6.3.3</w:t>
      </w:r>
    </w:p>
    <w:p>
      <w:r>
        <w:t>Die obgenannten medizinischen - insbesondere psychischen - Probleme sind nicht zu verharmlosen und für die Familie zweifellos mit besonderen Schwierigkeiten und (Behandlungs-)Bedürfnissen verbunden. Vorliegend ergeben sich jedoch keine Anhaltspunkte für die Annahme, dass die erforderliche medizinische Betreuung mit den notwendigen Untersuchungen und Therapien in Kroatien - einem Mitgliedstaat der Europäischen Union mit einem dem Schweizer Niveau qualitativ vergleichbaren Gesundheitssystem - nicht verfügbar respektive zugänglich wären.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Wie vorstehend ausgeführt (vgl. E. 5; vgl. auch zutreffende Feststellungen des SEM in der angefochtenen Verfügung S. 8), ist davon auszugehen, dass Kroatien seinen diesbezüglichen Verpflichtungen nachkommt. Nebst den staatlichen Einrichtungen bieten auch Nichtregierungsorganisationen Hilfestellung bei der psychologischen Betreuung von Asylsuchenden an, womit von einem genügenden Behandlungsangebot auszugehen ist (vgl. Urteile des BVGer E-4348/2021 vom 15. Dezember 2022 E. 7.3.2, E-4341/2022 vom 8. Dezember 2022 E. 7.3.3, F-5023/2022 vom 23. November 2022 E. 6.4.3, F-4542/2022 vom 11. November 2022 E. 7.5 je m.w.H.). Bei einer in Kroatien fortgeführten angemessenen Behandlung der Beschwerdeführenden ist daher nicht davon auszugehen, dass ihnen bei einer Überstellung nach Kroatien eine ernste, rasche und unwiederbringliche Verschlechterung ihres Gesundheitszustands droht, die zu intensivem Leiden oder einer erheblichen Verkürzung der Lebenserwartung und damit einer Verletzung von Art. 3 EMRK führen würde.</w:t>
      </w:r>
    </w:p>
    <w:p>
      <w:r>
        <w:rPr>
          <w:b/>
        </w:rPr>
        <w:t>E. 6.3.4</w:t>
      </w:r>
    </w:p>
    <w:p>
      <w:r>
        <w:t>Das Bundesverwaltungsgericht geht in seiner Praxis ebenso wie das SEM davon aus, dass die schweizerischen Behörden bei den kroatischen Behörden in der Regel keine individuellen Zusicherungen bezüglich des Zugangs zum Asylverfahren sowie adäquater Unterbringung und medizinischer Versorgung einzuholen haben. Vorliegend bestehen keine Gründe, die ein Abweichen von dieser Regel aufdrängten, der entsprechende Subeventualantrag ist deshalb abzuweisen.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notwendige medizinische Behandlung der Beschwerdeführenden informieren werden.</w:t>
      </w:r>
    </w:p>
    <w:p>
      <w:r>
        <w:rPr>
          <w:b/>
        </w:rPr>
        <w:t>E. 6.4</w:t>
      </w:r>
    </w:p>
    <w:p>
      <w:r>
        <w:t>Im Zusammenhang mit den Vorbringen bezüglich der Beachtung des Kindeswohls ist festzuhalten, dass Kroatien Signatarstaat der KRK ist und seinen daraus erwachsenen Verpflichtungen grundsätzlich nachkommt, weshalb eine Überstellung nach Kroatien weder eine Verletzung von Art. 3 KRK noch Art. 3 EMRK bedeutet. Angesichts der kurzen Aufenthaltsdauer in der Schweiz sind die Kinder hier noch nicht verwurzelt, sodass ein Vollzug der Wegweisung nicht gegen das Kindeswohl spricht. Die notwendige medizinische Behandlung kann nach dem Ausgeführten (vgl. vorstehend E. 6.3.3) auch in Kroatien erfolgen.</w:t>
      </w:r>
    </w:p>
    <w:p>
      <w:r>
        <w:rPr>
          <w:b/>
        </w:rPr>
        <w:t>E. 6.5</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festzuhalten, dass die Dublin-III-VO den Schutzsuchenden kein Recht einräumt, den ihren Antrag prüfenden Staat selber auszuwählen (vgl. BVGE 2010/45 E. 8.3). Kroatien bleibt somit der für die Behandlung der Asylgesuche der Beschwerdeführenden zuständige Mitgliedstaat gemäss Dublin-III-VO.</w:t>
      </w:r>
    </w:p>
    <w:p>
      <w:r>
        <w:rPr>
          <w:b/>
        </w:rPr>
        <w:t>E. 7</w:t>
      </w:r>
    </w:p>
    <w:p>
      <w:r>
        <w:t>Das SEM ist demnach zu Recht in Anwendung von Art. 31a Abs. 1 Bst. b AsylG auf die Asylgesuche der Beschwerdeführenden nicht eingetreten und hat die Wegweisung nach Kroatien angeordnet.</w:t>
      </w:r>
    </w:p>
    <w:p>
      <w:r>
        <w:rPr>
          <w:b/>
        </w:rPr>
        <w:t>E. 8</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9.1</w:t>
      </w:r>
    </w:p>
    <w:p>
      <w:r>
        <w:t>Mit vorliegendem Urteil ist das Beschwerdeverfahren abgeschlossen. Die Anträge auf Erteilung der aufschiebenden Wirkung und Befreiung von der Kostenvorschusspflicht erweisen sich somit als gegenstandslos. Der am 16. Mai 2023 angeordnete Vollzugsstopp fällt dahin.</w:t>
      </w:r>
    </w:p>
    <w:p>
      <w:r>
        <w:rPr>
          <w:b/>
        </w:rPr>
        <w:t>E. 9.2</w:t>
      </w:r>
    </w:p>
    <w:p>
      <w:r>
        <w:t>Bei diesem Ausgang des Verfahrens wären die Kosten grundsätzlich den Beschwerdeführenden aufzuerlegen (Art. 63 Abs. 1 VwVG). Da jedoch aufgrund der Akten von ihrer Bedürftigkeit auszugehen ist und die Beschwerde nicht als aussichtslos zu bezeichnen war, ist das Gesuch um Gewährung der unentgeltlichen Prozessführung gemäss Art. 65 Abs. 1 VwVG gutzuheissen und auf die Erhebung von Verfahrenskosten zu verzichten.</w:t>
      </w:r>
    </w:p>
    <w:p>
      <w:r>
        <w:rPr>
          <w:b/>
        </w:rPr>
        <w:t>E. 9.3</w:t>
      </w:r>
    </w:p>
    <w:p>
      <w:r>
        <w:t>Nachdem der Antrag auf unentgeltliche Prozessführung gutgeheissen wurde und das Bundesverwaltungsgericht nach Art. 102m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Rechtsanwalt lic. iur. Semsettin Bastimar als amtlicher Rechts-beistand der Beschwerdeführenden einzusetzen. Ihm ist ein amtliches Honorar zu entrichten. Bei amtlicher Vertretung geht das Bundesverwaltungsgericht in der Regel von einem Stundenansatz von Fr. 200.- bis Fr. 220.- für anwaltliche Vertreterinnen und Vertreter aus (vgl. Art. 12 i.V.m. Art. 10 Abs. 2 VGKE). Es wurde keine Kostennote eingereicht.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1500.- (inklusive Auslagen und Mehrwertsteuerzuschlag) als angemessen zu veranschlagen.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