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E-2775/2009 vom 19. März 2012</w:t>
      </w:r>
    </w:p>
    <w:p>
      <w:r>
        <w:t>Bundesverwaltungsgericht, 2012-03-19, DE</w:t>
      </w:r>
    </w:p>
    <w:p>
      <w:r>
        <w:rPr>
          <w:b/>
        </w:rPr>
        <w:t xml:space="preserve">Quelle: </w:t>
      </w:r>
      <w:r>
        <w:t>https://mcp.opencaselaw.ch/entscheid/bvger_E-2775_2009</w:t>
      </w:r>
    </w:p>
    <w:p>
      <w:r>
        <w:t>FR: TAF E-2775/2009 du 19 mars 2012</w:t>
      </w:r>
    </w:p>
    <w:p>
      <w:r>
        <w:t>IT: TAF E-2775/2009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2.2. Zur Begründung des abweisenden Entscheides führte das BFM aus, die geltend gemachten Verfolgungsvorbringen seien widersprüchlich und unglaubhaft; zudem sei der Beschwerdeführer wegen Bestehens einer innerstaatlichen Fluchtalternative nicht auf den Schutz der Schweiz angewiesen. Die Widersprüche erkennt das BFM in der Schilderung der angeblichen Haftzeiten (im April 2007 den ganzen Monat lang [A1 S. 8] oder Mitte Mai lediglich 2 Tage lang [A10 S. 14] beziehungsweise Anfang 2005 14 Tage lang [A1 S. 8] oder eine vierstündige Anhaltung nach einer Razzia und sonst nie in Haft [A10 S. 10]). Weiter widerspreche es der allgemeinen Erfahrung und der Logik des Handelns, wenn vom Beschwerdeführer geltend gemacht werde, nichts über die Art und Weise zu wissen, wie sein Bruder in den letzten Jahren die LTTE unterstützt habe. So habe er angegeben, mit diesem zur selben Zeit am selben Ort die Organisation unterstützt zu haben. Er hätte demzufolge über dessen Aktivitäten etwas wissen müssen. Zudem seien die in Aussicht gestellten Dokumente (Todesschein des Bruders, Identitätskarte und Geschäftsvertrag) und das ausdrücklich eingeforderte Gerichtsurteil beim BFM nicht eingetroffen, obwohl genügend Zeit hierfür zur Verfügung gestanden sei. Schliesslich seien die angeblichen Umstände bei der Beschaffung des Reisepasses realitätsfremd. So habe er angegeben, einen Pass über den Schlepper beantragt und dessen Ausstellung nicht abgewartet zu haben, obwohl er den Pass selber - er habe keine Probleme mit den sri-lankischen Behörden gehabt - bei der Behörde hätte beantragen können. 2.3. In der Beschwerde wird beanstandet, das BFM habe die Asylan­gaben zu Unrecht als unglaubhaft erachtet, diese hätten auf die Asylre­levanz hin geprüft werden müssen. So werde nach der Lektüre der Protokolle klar, dass es sich bei den vorgehaltenen Haftzeiten vom April 2007 und Mitte 2007 um verschiedene Haftereignisse handeln müsse. Der Beschwerdeführer sei im April 2007 einen Monat lang und Mitte oder Ende 2007 zwei Tage lang in Haft gewesen. Eine summarische Kurzbefragung von einer Dauer von 7 Viertelstunden könne nicht so ausführlich ausfallen wie eine Befragung, die über 15 Viertelstunden lang gedauert habe. Zudem habe sich der Beschwerdeführer in der Anhörung vom 2. März 2009 zur vierzehntägigen Haft erklärt. Seine Antwort zur Frage 91 zeige es. Folglich könnten die vom BFM festgestellten Ungereimtheiten nicht bewirken, dass seine Angaben nicht glaubhaft seien. Weiter sei er in der Lage, die versprochenen Beweismittel nun einzureichen (s.o. Rubrik B, 2. Abschnitt) und damit die geltend gemachte Sachlage zu untermauern. Ihm sei Asyl zu gewähren. 2.4. In seiner Vernehmlassung vom 2. Juli 2009, die dem Beschwerdeführer am 7. Juli 2009 zugestellt wurde, führte das BFM aus, die Beschwerde enthalte keine neuen Tatsachen oder Beweismittel, welche eine Änderung der bisherigen Haltung des BFM rechtfertigen könnten. 2.5. Im Sinne einer Gesamtwürdigung ist nachfolgend zu ermitteln, ob die für die Richtigkeit des Sachvortrags sprechenden Gründe überwiegen oder nicht, wobei auf eine objektivierte Sichtweise abzustellen ist. 2.5.1. Zu den eingereichten Beweismitteln vorab, ungeachtet der Frage ihrer Echtheit, Folgendes: - Gemäss der nicht datierten sri-lankischen Identitätskarte stammt der Beschwerdeführer aus C._______. - Der Todesschein vom 16. April 2008 gibt darüber Auskunft, dass der Vater des Beschwerdeführers am (...) 2003 gestorben ist. - Der die Verfügung vom 17. November 2006 ausstellende Richter in C._______ stellt unter Bezugnahme auf eine Befragung der Mutter und einen Arztbericht fest, dass F._______, der Bruder des Beschwerdeführers, mutmasslich eines gewaltsamen Todes gestorben ist, und weist die Polizei in C._______ an, den Täter zu ermitteln und dem Gericht zuzuführen. - Die Mutter sagte gemäss dem vom (...) 2008 datierten Protokollauszug vor Gericht aus, die Polizei habe F._______ und eine weitere Person am 13. November 2006 mit einem Fahrzeug weggeführt. Ihr Nachfragen im Militärlager und Polizeiposten habe nichts ergeben. Am 15. November 2011 seien die Leichen der Gesuchten gefunden worden. - Ein Polizeibericht vom (...) 2008 hält fest, dass F._______ am 13. November 2006 von einer unbekannten Person erschossen worden sei; Fall und Strafverfahren seien registriert. - Der Todesschein (Kopie) betreffend F._______ datiert vom (...) April 2008. - Die Eintragung im Sterberegister erfolgt auf richterliche Anordnung am (...) 2006; dieser Eintragung zufolge wurde F._______ am (...) 2006 im Alter von (...) Jahren in C._______ erschossen. - Ein Zeitungsartikel vom 15. November berichtet vom Fund der Leichen von F._______ und M.S., beide (...)-jährig. Die beiden seien vor zwei Tagen von Unbekannten in einem weissen Wagen entführt und ermordet worden. - Ein zweiter undatierter Zeitungsausschnitt stellt eine Todesanzeige dar und enthält die Mitteilung, dass F._______ am (...) 2006 gestorben sei und am 15. November 2006 bestattet werde. 2.5.2. Zu Gunsten des Beschwerdeführers spricht, dass dessen Sachdarstellung teilweise plausibel ausgefallen ist. So dürfte zutreffen, dass sein Bruder auf gewaltsame Art und Weise umgekommen ist. Aber er kann mit seinen Angaben und den eingereichten Beweismitteln nicht überwiegend glaubhaft darlegen, dass die Tötung des Bruders von der Polizei, der Armee oder den Sicherheitsorganen nahestehende Dritte (in einem Zeitungsbericht ist die Rede von Personen in einem weissen Lieferwagen) zu verantworten ist und das sie aus flüchtlingsrechtlich relevanten Motiven erfolgt ist. Auch geht nirgendwo überzeugend hervor, dass der Bruder mit den LTTE in Verbindung gestanden ist und deswegen getötet wurde. Zudem beruhen sämtliche Anhaltspunkte und Beweismittel, die eine Vermutung in diese Richtung hätten lenken können, letztlich auf eigenen Mutmassungen des Beschwerdeführers sowie auf den Aussagen dessen Mutter. Immerhin haben das ärztliche Zeugnis und die Aussagen der Mutter den Richter in C._______ dazu bewogen, die Strafermittlungsbehörden zur Klärung der Angelegenheit einzuschalten. 2.5.3. Die vom BFM zu Recht als unstimmig erkannten Aussagen des Beschwerdeführers zu seinen Haftaufenthalten und der Existenz eines Strafurteils konnten auf Beschwerdestufe nicht aufgelöst werden. So hat er in der ersten Befragung erklärt, einen vierzehntägigen Haftaufenthalt zu Beginn des Jahres 2005 durch die Polizei - das Verfahren soll nach 18 Monaten Dauer mit Urteil wegen (angeblich) verübten und zugegebenen (...einzelne Delikte...) geendet haben -, eine vierstündige Untersuchungshaft mit Fotoaufnahmen nach einer Razzia der Polizei/SLA im Jahr 2005 und eine einmonatige Haft durch die LTTE im April 2007 erlebt zu haben; andere Festnahmen und Haftaufenthalte habe es nicht gegeben (A1 S. 8). Demgegenüber erwähnte er in der zweiten Anhörung, einmal im Jahr 2005 durch die SLA vier Stunden lang in deren Lager festgehalten, gequält und fotografiert worden zu sein (A10 S. 9 f.). Anschliessend verneinte er kategorisch alle Nachfragen nach Haftaufenthalten, seien es Anhaltungen durch die SLA, die Polizei oder andere Institutionen und Organisationen. Selbst die Nachfrage nach einem existierenden Gerichtsurteil wurde verneint (A10 S. 10 f., F74, F75, F76, F84). Nachdem er später auf die anderslautenden Erstangaben hingewiesen wurde, erklärte er, Bekanntes aus der ersten Anhörung bewusst ausgeblendet zu haben. Darüber hinaus stellte er die bei den LTTE erlebte Haft als eine zweitägige dar (A10 S. 14). Dieses Antwortverhalten überzeugt angesichts des Gesprächsverlaufs nicht. Das im Vorverfahren in Aussicht gestellte Urteil, das bei ihm zu Hause liegen soll (A1 S. 8), hat er nicht nachgereicht. Im Übrigen geht das Gericht mit dem BFM darin einig, dass die Hinweise des Beschwerdeführers zu den Aktivitäten seines Bruders bei den LTTE und die Umstände rund um die Passbeschaffung realitätsfremd ausgefallen sind. Es kann diesbezüglich auf die überzeugenden Erwägungen in der angefochtenen Verfügung verwiesen werden. 2.5.4. Schliesslich wären aufgrund der aktuellen Situation in Sri Lanka Befürchtungen vor Verfolgungen durch die LTTE bei einer Rückkehr ohnehin unbegründet. Da der Beschwerdeführer keine und schon gar keine wichtige Rolle innerhalb den LTTE bekleidet hat, hätte er selbst im Falle einer Untersuchung seitens der sri-lankischen Behörden nichts zu befürchten. 2.5.5. Da ihm in Sri Lanka offensichtlich keine Verfolgung droht, stellt sich die Fragen nach einer innerstaatliche Fluchtalternative nicht. Immerhin ist die zusätzliche Begründung der Vorinstanz hinsichtlich des (...ein Verwandter...) mit einer Wohnadresse in Colombo nachvollziehbar. 2.5.6. Zusammenfassend ist festzuhalten, dass der Beschwerdeführer keine Gründe nach Art. 3 AsylG nachweisen oder glaubhaft machen konnte. Die Vorinstanz hat das Asylgesuch zu Recht und mit zutreffender Begründung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4.2</w:t>
      </w:r>
    </w:p>
    <w:p>
      <w:r>
        <w:t>Der Vollzug ist nicht zulässig, wenn völkerrechtliche Verpflichtungen der Schweiz einer Weiterreise der ausländischen Person in den Heimat-, Herkunfts- oder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3 BV). Unter das flüchtlingsrechtliche Rückschiebungsverbot fallen somit nur Flüchtlinge. Da der Beschwerdeführer die Flüchtlingseigenschaft nicht erfüllt, greift der flüchtlingsrechtliche Grundsatz der Nichtrückschiebung, wie vom BFM zu Recht festgestellt, vorliegend nicht.</w:t>
      </w:r>
    </w:p>
    <w:p>
      <w:r>
        <w:rPr>
          <w:b/>
        </w:rPr>
        <w:t>E. 4.2.2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Weder aus den Aussagen der Beschwerdeführenden noch aus den Akten ergeben sich Anhaltspunkte für eine konkrete Bedrohung durch Folter oder eine andere Art grausamer und unmenschlicher Be­handlung oder Bestrafung.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sind nicht aktenkundig. Eine Rückkehr des Beschwerdeführers nach Sri Lanka erweist sich dem­nach im asyl- und völkerrechtlichen Sinn als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4.3.2</w:t>
      </w:r>
    </w:p>
    <w:p>
      <w:r>
        <w:t>Das BFM hat in der angefochtenen Verfügung, ausgehend von der Situation im Jahr 2008, festgestellt, zwar sei eine Rückkehr in den Nor­den (und Osten) Sri Lankas wegen des schwelenden und seit Sommer 2006 eskalierenden Konflikts zwischen der sri-lankischen Regierung und den LTTE stark erschwert und die Sicherheits- und Menschenrechtssitua­tion habe sich im ganzen Land erheblich verschärft. Dem jungen und gesunden Beschwerdeführer, der sechs Jahre lang erfolgreich einen Lebensmittellladen geführt habe, sei aber zuzumuten, sich beispielsweise im Grossraum Colombo anzusiedeln, wo viele Tamilen und seit 1985 sein ebenfalls als Geschäftsmann tätiger (...ein Verwandter...) leben.</w:t>
      </w:r>
    </w:p>
    <w:p>
      <w:r>
        <w:rPr>
          <w:b/>
        </w:rPr>
        <w:t>E. 4.3.3</w:t>
      </w:r>
    </w:p>
    <w:p>
      <w:r>
        <w:t>Das Bundesverwaltungsgericht nahm im Urteil BVGE E-6220/2006 vom 27. Oktober 2011 zur Frage der Zumutbarkeit des Wegweisungsvoll­zugs abgewiesener Asylsuchender tamilischer Ethnie eine Neubeurtei­lung der Lageanalyse vor. Nachdem es im Jahr 2008 die Rückkehr ab­gewiesener sri-lankischer Asylsuchender tamilischer Ethnie im Norden und Osten des Landes im Regelfall aufgrund des Bürgerkriegs als nicht zumutbar bezeichnet hat (BVGE 2008/2), hat es in seinem neuen Ent­scheid festgestellt, dass seit Beendigung des militärischen Konflikts zwischen der sri-lankischen Armee und den LTTE im Mai 2009 die Si­cherheitslage in Sri Lanka sich erheblich verbessert und stabilisiert hat. Die LTTE wurden militärisch vernichtend geschlagen; von den LTTE geht heute keine Verfolgung mehr aus. Gemäss diesem Urteil ist der Wegwei­sungsvollzug grundsätzlich zumutbar hinsichtlich des gesamten Gebiets der Ostprovinz und auch hinsichtlich der Nordprovinz, dort allerdings mit Ausnahme des Vanni-Gebiets (geografisch definiert in E. 13.2.2.), wobei namentlich bei Personen, deren letzter Aufenthalt in der Nordprovinz län­gere Zeit zurückliegt, die aktuellen Lebens- und Wohnverhältnisse und das Vorhandensein begünstigender Faktoren (Existenz eines tragfähigen Beziehungsnetzes, Sicherung des Existenzminimums und der Wohnsi­tuation) in Betracht zu ziehen sind. Für die aus dem Vanni-Gebiet stam­menden Personen ist die Wohnsitzverlegung in einen der anderen Lan­desteile Sri Lankas, welche allesamt grundsätzlich als zumutbare Auf­enthaltsalternative gelten, zu prüfen.</w:t>
      </w:r>
    </w:p>
    <w:p>
      <w:r>
        <w:rPr>
          <w:b/>
        </w:rPr>
        <w:t>E. 4.3.4</w:t>
      </w:r>
    </w:p>
    <w:p>
      <w:r>
        <w:t>Der Beschwerdeführer stammt aus D._______ (C._______), wo er ab Geburt bis 1995 und von 1997 bis Oktober 2006 gelebt hat. Er hat einige Jahre in E._______ (1995 - 1997 und 2006 - 2008) bei (...ein Verwandter....) gewohnt. Entsprechend der genannten Praxis fällt die Rückkehr nach E._______, ausser Betracht, da eine Wohnsitznahme im Vanni-Gebiet als unzumutbar gilt. Der Beschwerdeführer verfügt in Sri Lanka jedoch über eine Vielzahl von Verwandten, hauptsächlich im Raum C._______ in der Nordprovinz. Zudem hat er einen (...Verwandter...) in Colombo, welcher einen Laden besitzt und schon seit Jahrzehnten dort eine feste Anschrift verzeichnet. Gemäss eigenen Angaben hat er nach seiner zehnjährigen Schulbildung langjährige berufliche Erfahrungen vorerst als Angestellter und später als selbständiger Unternehmer bis Oktober 2008 im Lebensmittelhandel machen können (A10 S. 6). Diese beruflichen Tätigkeiten werden ihm bei der Reintegration im Heimatland zweifellos zugutekommen. Er ist als (...)-jähriger, unverheirateter und - soweit aktenkundig - gesunder Mann angesichts seiner verwandtschaftlichen Verbindungen namentlich im Raum C._______, seinem in Colombo wohnhaften (...ein Verwandter...), welcher einen Laden besitzt und schon seit Jahrzehnten dort eine feste Anschrift verzeichnet, und angesichts seiner schulischen und beruflichen Vorbildung und Erfahrung in einer vorteilhaften Situation im Hinblick auf eine soziale und wirtschaftliche Wiedereingliederung. Bei einigen der Verwandten soll sich der Beschwerdeführer bereits früher schon aufgehalten haben. Mit diesen und weiteren Verwandten im Ausland (A1 S. 4, A10 S. 4) verfügt er über ein solides und tragfähiges familiäres Beziehungsnetz, das ihm den Wiedereintritt ins Erwerbsleben erleichtern wird. Auch wenn die Reintegration nach mehrjähriger Landesabwesenheit nicht ganz einfach sein mag, begründet dieser Umstand noch keine konkrete Gefährdung im Sinne des Gesetzes. Dass eine allfällige Integration in der Schweiz kein Unzumutbar­keitskriterium darstellt, ergibt sich aus der geltenden gesetzliche Regelung (Art. 83 Abs. 3 AuG und e contrario aus Art. 14 Abs. 2 Bst. c AsylG). Der Vollzug der Wegweisung erweist sich somit auch als zumutbar.</w:t>
      </w:r>
    </w:p>
    <w:p>
      <w:r>
        <w:rPr>
          <w:b/>
        </w:rPr>
        <w:t>E. 4.4</w:t>
      </w:r>
    </w:p>
    <w:p>
      <w:r>
        <w:t>Schliesslich obliegt es dem Beschwerdeführer, sich bei der Vertretung seines Heimatstaates die für eine Rückkehr notwendigen Reisedokumente zu beschaffen, weshalb der Vollzug der Wegweisung auch möglich ist (Art. 8 Abs. 4 AsylG, Art. 83 Abs. 2 AuG). Mit der vorliegenden Identitätskarte wird die Reisepapierbeschaffung keine Probleme stellen.</w:t>
      </w:r>
    </w:p>
    <w:p>
      <w:r>
        <w:rPr>
          <w:b/>
        </w:rPr>
        <w:t>E. 4.5</w:t>
      </w:r>
    </w:p>
    <w:p>
      <w:r>
        <w:t>Zusammenfassend hat das BFM den Wegweisungsvollzug zu Recht als zulässig, zumutbar und möglich erachtet. Nach dem Gesagten fällt eine vorläufige Aufnahme ausser Betracht (Art. 83 Abs. 1 ff. AuG).</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dessen Kosten dem Be­schwerdeführer aufzuerlegen (Art. 63 Abs. 1 VwVG). Aufgrund der Situa­tion in Sri Lanka im Zeitpunkt der Beschwerdeeinreichung und der seinerzeitigen Praxis des Bundesverwaltungsgerichts bestanden damals intakte Chancen auf eine Teilgutheissung der Beschwerde. Von einer Kostenauflage ist deshalb und in Anwendung von Art. 63 Abs. 1 Satz 3 VwVG abzusehen, weshalb der noch zu beurteilende Antrag auf Gewährung der unentgeltlichen Prozessführung (Beschwerde, S. 2) gegenstandslos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