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E-2758/2023 vom 10. Mai 2023</w:t>
      </w:r>
    </w:p>
    <w:p>
      <w:r>
        <w:t>Bundesverwaltungsgericht, 2023-05-10, DE</w:t>
      </w:r>
    </w:p>
    <w:p>
      <w:r>
        <w:rPr>
          <w:b/>
        </w:rPr>
        <w:t xml:space="preserve">Quelle: </w:t>
      </w:r>
      <w:r>
        <w:t>https://mcp.opencaselaw.ch/entscheid/bvger_E-2758_2023_d20230510</w:t>
      </w:r>
    </w:p>
    <w:p>
      <w:r>
        <w:t>FR: TAF E-2758/2023 du 10 mai 2023</w:t>
      </w:r>
    </w:p>
    <w:p>
      <w:r>
        <w:t>IT: TAF E-2758/2023 del 10 maggio 2023</w:t>
      </w:r>
    </w:p>
    <w:p>
      <w:pPr>
        <w:pStyle w:val="Heading2"/>
      </w:pPr>
      <w:r>
        <w:t>Regeste</w:t>
      </w:r>
    </w:p>
    <w:p>
      <w:r>
        <w:t>Nichteintreten auf Asylgesuch und Wegweisung (Dublin-Verfahren - Art. 31a Abs. 1 Bst. b AsylG) | Nichteintreten auf Asylgesuch und Wegweisung (Dublin-Verfahren); Verfügung des SEM vom 10.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E-2758/2023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Die Beschwerdeeingabe ist eindeutig als abschliessend zu verstehen und der Sachverhalt ist vollständig festgestellt. Angesichts der Dringlichkeit des Verfahrens kann damit über das Rechtsmittel ausnahmsweise vor Ablauf der Beschwerdefrist entschieden werden (vgl. etwa BVGer E-228/2023 vom 17. Januar 2023 S. 3 m.w.H.).</w:t>
      </w:r>
    </w:p>
    <w:p>
      <w:r>
        <w:rPr>
          <w:b/>
        </w:rPr>
        <w:t>E. 5.1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E-2758/2023 Seite 5 Im Rahmen des in den Art. 23–25 Dublin-III-VO geregelten sogenannten Wiederaufnahmeverfahrens (engl.: take back) findet hingegen grundsätz- lich keine (erneute) Zuständigkeitsprüfung nach Kapitel III statt. Die Zu- 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welcher Be- stimmung die Schweiz aus "humanitären Gründen" auch dann auf ein Asyl- gesuch eintreten kann, wenn ein anderer Mitgliedstaat für dessen Behand- lung zuständig wäre).</w:t>
      </w:r>
    </w:p>
    <w:p>
      <w:r>
        <w:rPr>
          <w:b/>
        </w:rPr>
        <w:t>E. 6.1</w:t>
      </w:r>
    </w:p>
    <w:p>
      <w:r>
        <w:t>Ein Abgleich der Fingerabdrücke in der Fingerabdruck-Datenbank ergab, dass der Beschwerdeführer am 15. April 2023 in Kroatien ein Asyl- gesuch gestellt hatte. Das SEM ersuchte deshalb die kroatischen Behör- den um seine Wiederaufnahme. Nachdem diese dem Gesuch um Rück- übernahme innert der in Art. 25 Abs. 1 Dublin-III-VO festgelegten Frist zugestimmt haben, und der Beschwerdeführer nicht bestreitet in Kroatien ein Asylgesuch gestellt zu haben, ist die Zuständigkeit Kroatiens grund- sätzlich gegeben.</w:t>
      </w:r>
    </w:p>
    <w:p>
      <w:r>
        <w:t>E-2758/2023 Seite 6</w:t>
      </w:r>
    </w:p>
    <w:p>
      <w:r>
        <w:rPr>
          <w:b/>
        </w:rPr>
        <w:t>E. 6.2</w:t>
      </w:r>
    </w:p>
    <w:p>
      <w:r>
        <w:t>Daran vermag auch der Hinweis des Beschwerdeführers in seiner Be- schwerdebegründung, er wolle im selben Staat wie sein Vater verbleiben, nichts zu ändern: Einerseits steht im Urteilszeitpunkt noch nicht fest, wel- cher Dublin-Mitgliedstaat zuständig ist für die Durchführung des Asylver- fahrens des Vaters des Beschwerdeführers – weil dessen Asylverfahren noch erstinstanzlich hängig ist – und andererseits ist mit dem SEM festzu- stellen, dass der Vater nicht als Familienangehöriger im Sinne von Art. 2 Bst. g Dublin-III-VO gilt (vgl. SEM-Verfügung S. 6).</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7.2</w:t>
      </w:r>
    </w:p>
    <w:p>
      <w:r>
        <w:t>Kroatien ist Signatarstaat der EMRK, des Übereinkommens vom</w:t>
      </w:r>
    </w:p>
    <w:p>
      <w:r>
        <w:rPr>
          <w:b/>
        </w:rPr>
        <w:t>E. 7.3</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Urteil wurde festgehalten, dass nicht davon auszugehen sei, das Asyl- verfahren und die Aufnahmebedingungen in Kroatien würden systemische Schwachstellen im Sinne von Art. 3 Abs. 2 Sätze 2 und 3 Dublin-III-VO auf- weisen, die eine Überstellung von Gesuchstellenden generell als unzuläs- sig erscheinen lassen würden (vgl. a.a.O. E. 9.5).</w:t>
      </w:r>
    </w:p>
    <w:p>
      <w:r>
        <w:t>E-2758/2023 Seite 7</w:t>
      </w:r>
    </w:p>
    <w:p>
      <w:r>
        <w:rPr>
          <w:b/>
        </w:rPr>
        <w:t>E. 7.4</w:t>
      </w:r>
    </w:p>
    <w:p>
      <w:r>
        <w:t>Auch unter Berücksichtigung der vom Beschwerdeführer anlässlich des sogenannten Dublin-Gesprächs geschilderten Erlebnisse, auf die auch in der Beschwerdeschrift Bezug genommen wird, ist nicht davon auszuge- hen, dass Kroatien systematisch gegen seine vertraglichen Verpflichtun- gen verstösst. Die vom Beschwerdeführer für die kurze Zeit seines Aufent- halts in Kroatien geltend gemachte schlechte Behandlung rechtfertigt es nicht, davon auszugehen, dass er bei einer Rückkehr mit hoher Wahr- scheinlichkeit Opfer einer unmenschlichen oder erniedrigenden Behand- lung im Sinn von Art. 3 EMRK, Art. 3 FoK oder Art. 4 EU-Grundrechte- charta wird. Bei allfälligem Fehlverhalten einzelner Beamter könnte er sich zudem an die zuständigen kroatischen Stellen wenden. Es ist nicht davon auszugehen, dass er bei einer Überstellung nach Kroatien in eine existen- zielle Notlage geraten wird.</w:t>
      </w:r>
    </w:p>
    <w:p>
      <w:r>
        <w:rPr>
          <w:b/>
        </w:rPr>
        <w:t>E. 7.5</w:t>
      </w:r>
    </w:p>
    <w:p>
      <w:r>
        <w:t>Unter diesen Umständen ist die Anwendung von Art. 3 Abs. 2 Dublin- III-VO nicht gerechtfertigt.</w:t>
      </w:r>
    </w:p>
    <w:p>
      <w:r>
        <w:rPr>
          <w:b/>
        </w:rPr>
        <w:t>E. 7.6.1</w:t>
      </w:r>
    </w:p>
    <w:p>
      <w:r>
        <w:t>Soweit der Beschwerdeführer mit seiner Beschwerde Arztberichte zu seiner gesundheitlichen Situation einreicht,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w:t>
      </w:r>
    </w:p>
    <w:p>
      <w:r>
        <w:rPr>
          <w:b/>
        </w:rPr>
        <w:t>E. 7.6.2</w:t>
      </w:r>
    </w:p>
    <w:p>
      <w:r>
        <w:t>Eine solche Situation ist vorliegend offenkundig nicht gegeben. Den eingereichten Arztberichten zufolge leidet der Beschwerdeführer unter tro- ckener Haut mit Juckreiz, hingegen verneinte er die durch die Rechtsver- tretung vorgebrachten Nierenprobleme und der von ihm geltend gemachte</w:t>
      </w:r>
    </w:p>
    <w:p>
      <w:r>
        <w:t>E-2758/2023 Seite 8 "Fleck auf der Lunge" wurde gemäss den medizinischen Akten offenbar nicht bestätigt. Damit ist beim Beschwerdeführer nicht von gesundheitli- chen Beeinträchtigungen von einer Schwere auszugehen, dass sie die Feststellung der Unzulässigkeit im Sinn der restriktiven Rechtsprechung zu rechtfertigen vermöchten (vgl. A12/2). Im Übrigen verfügt Kroatien über eine ausreichende medizinische Infrastruktur (vgl. etwa BVGer D-5299/2022 vom 30. November 2022 E. 7.2 m.w.H.).</w:t>
      </w:r>
    </w:p>
    <w:p>
      <w:r>
        <w:rPr>
          <w:b/>
        </w:rPr>
        <w:t>E. 7.6.3</w:t>
      </w:r>
    </w:p>
    <w:p>
      <w:r>
        <w:t>Nach dem Gesagten kann der Beschwerdeführer kein konkretes und ernsthaftes Risiko dartun, dass seine Überstellung nach Kroatien die Ver- letzung völkerrechtlicher Bestimmungen zur Folge hätte.</w:t>
      </w:r>
    </w:p>
    <w:p>
      <w:r>
        <w:rPr>
          <w:b/>
        </w:rPr>
        <w:t>E. 7.7</w:t>
      </w:r>
    </w:p>
    <w:p>
      <w:r>
        <w:t>Gemäss Praxis des Bundesverwaltungsgerichts verfügt die Vor- instanz bei der Anwendung von Art. 29a Abs. 3 AsylV 1 über einen Ermes- sensspielraum (vgl. BVGE 2015/9 E. 7 f.). Die angefochtene Verfügung ist unter diesem Blickwinkel nicht zu beanstanden; insbesondere sind den Ak- ten keine Hinweise auf einen Ermessensmissbrauch oder ein Über- res- pektive Unterschreiten des Ermessens zu entnehmen. Das Gericht enthält sich deshalb in diesem Zusammenhang weiterer Äusserungen.</w:t>
      </w:r>
    </w:p>
    <w:p>
      <w:r>
        <w:rPr>
          <w:b/>
        </w:rPr>
        <w:t>E. 7.8</w:t>
      </w:r>
    </w:p>
    <w:p>
      <w:r>
        <w:t>Aus den Akten ergeben sich nach dem Gesagten weder völkerrechtli- che Vollzugshindernisse, welche die Schweiz zum Selbsteintritt verpflich- ten würden, noch Rechtsfehler bei der Ermessensbetätigung. Es liegt folg- lich kein Grund für einen Selbsteintritt der Schweiz gemäss Art. 17 Dublin- III-VO vor. Kroatien bleibt damit der für die Durchführung des Asylverfah- rens zuständige Mitgliedstaat. Der Vollständigkeit halber ist festzuhalten, dass die Dublin-III-VO den Schutzsuchenden kein Recht einräumt, den ih- ren Antrag prüfenden Staat selber auszuwählen (vgl. auch BVGE 2010/45 E. 8.3). 8. Das SEM ist demnach zu Recht in Anwendung von Art. 31a Abs. 1 Bst. b AsylG auf das Asylgesuch des Beschwerdeführers nicht eingetreten. Da der Beschwerdeführer nicht im Besitz einer gültigen Aufenthalts- oder Niederlassungsbewilligung ist, wurde die Überstellung nach Kroatien in An- wendung von Art. 44 AsylG ebenfalls zu Recht angeordnet (Art. 32 Bst. a AsylV 1). 9. Aus diesen Erwägungen ergibt sich, dass die angefochtene Verfügung Bundesrecht nicht verletzt und den rechtserheblichen Sachverhalt richtig sowie vollständig feststellt (Art. 106 Abs. 1 AsylG). Die Beschwerde ist ab- zuweisen.</w:t>
      </w:r>
    </w:p>
    <w:p>
      <w:r>
        <w:t>E-2758/2023 Seite 9</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w:t>
      </w:r>
    </w:p>
    <w:p>
      <w:r>
        <w:rPr>
          <w:b/>
        </w:rPr>
        <w:t>E. 10.1</w:t>
      </w:r>
    </w:p>
    <w:p>
      <w:r>
        <w:t>Der am 15. Mai 2023 superprovisorisch angeordnete Vollzugsstopp fällt mit dem vorliegenden Urteil dahin.</w:t>
      </w:r>
    </w:p>
    <w:p>
      <w:r>
        <w:rPr>
          <w:b/>
        </w:rPr>
        <w:t>E. 10.2</w:t>
      </w:r>
    </w:p>
    <w:p>
      <w:r>
        <w:t>Mit dem Entscheid in der Hauptsache werden die Gesuche um Er- 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E-2758/2023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