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E-2758/2023 vom 19. Mai 2023</w:t>
      </w:r>
    </w:p>
    <w:p>
      <w:r>
        <w:t>Bundesverwaltungsgericht, 2023-05-19, DE</w:t>
      </w:r>
    </w:p>
    <w:p>
      <w:r>
        <w:rPr>
          <w:b/>
        </w:rPr>
        <w:t xml:space="preserve">Quelle: </w:t>
      </w:r>
      <w:r>
        <w:t>https://mcp.opencaselaw.ch/entscheid/bvger_E-2758_2023</w:t>
      </w:r>
    </w:p>
    <w:p>
      <w:r>
        <w:t>FR: TAF E-2758/2023 du 19 mai 2023</w:t>
      </w:r>
    </w:p>
    <w:p>
      <w:r>
        <w:t>IT: TAF E-2758/2023 del 19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E-2758/2023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Die Beschwerdeeingabe ist eindeutig als abschliessend zu verstehen und der Sachverhalt ist vollständig festgestellt. Angesichts der Dringlichkeit des Verfahrens kann damit über das Rechtsmittel ausnahmsweise vor Ablauf der Beschwerdefrist entschieden werden (vgl. etwa BVGer E-228/2023 vom 17. Januar 2023 S. 3 m.w.H.).</w:t>
      </w:r>
    </w:p>
    <w:p>
      <w:r>
        <w:rPr>
          <w:b/>
        </w:rPr>
        <w:t>E. 5.1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E-2758/2023 Seite 5 Im Rahmen des in den Art. 23–25 Dublin-III-VO geregelten sogenannten Wiederaufnahmeverfahrens (engl.: take back) findet hingegen grundsätz- lich keine (erneute) Zuständigkeitsprüfung nach Kapitel III statt. Die Zu- 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die Schweiz aus "humanitären Gründen" auch dann auf ein Asyl- gesuch eintreten kann, wenn ein anderer Mitgliedstaat für dessen Behand- lung zuständig wäre).</w:t>
      </w:r>
    </w:p>
    <w:p>
      <w:r>
        <w:rPr>
          <w:b/>
        </w:rPr>
        <w:t>E. 6.1</w:t>
      </w:r>
    </w:p>
    <w:p>
      <w:r>
        <w:t>Ein Abgleich der Fingerabdrücke in der Fingerabdruck-Datenbank ergab, dass der Beschwerdeführer am 15. April 2023 in Kroatien ein Asyl- gesuch gestellt hatte. Das SEM ersuchte deshalb die kroatischen Behör- den um seine Wiederaufnahme. Nachdem diese dem Gesuch um Rück- übernahme innert der in Art. 25 Abs. 1 Dublin-III-VO festgelegten Frist zugestimmt haben, und der Beschwerdeführer nicht bestreitet in Kroatien ein Asylgesuch gestellt zu haben, ist die Zuständigkeit Kroatiens grund- sätzlich gegeben.</w:t>
      </w:r>
    </w:p>
    <w:p>
      <w:r>
        <w:t>E-2758/2023 Seite 6</w:t>
      </w:r>
    </w:p>
    <w:p>
      <w:r>
        <w:rPr>
          <w:b/>
        </w:rPr>
        <w:t>E. 6.2</w:t>
      </w:r>
    </w:p>
    <w:p>
      <w:r>
        <w:t>Daran vermag auch der Hinweis des Beschwerdeführers in seiner Be- schwerdebegründung, er wolle im selben Staat wie sein Vater verbleiben, nichts zu ändern: Einerseits steht im Urteilszeitpunkt noch nicht fest, wel- cher Dublin-Mitgliedstaat zuständig ist für die Durchführung des Asylver- fahrens des Vaters des Beschwerdeführers – weil dessen Asylverfahren noch erstinstanzlich hängig ist – und andererseits ist mit dem SEM festzu- stellen, dass der Vater nicht als Familienangehöriger im Sinne von Art. 2 Bst. g Dublin-III-VO gilt (vgl. SEM-Verfügung S. 6).</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Urteil wurde festgehalten, dass nicht davon auszugehen sei, das Asyl- verfahren und die Aufnahmebedingungen in Kroatien würden systemische Schwachstellen im Sinne von Art. 3 Abs. 2 Sätze 2 und 3 Dublin-III-VO auf- weisen, die eine Überstellung von Gesuchstellenden generell als unzuläs- sig erscheinen lassen würden (vgl. a.a.O. E. 9.5).</w:t>
      </w:r>
    </w:p>
    <w:p>
      <w:r>
        <w:t>E-2758/2023 Seite 7</w:t>
      </w:r>
    </w:p>
    <w:p>
      <w:r>
        <w:rPr>
          <w:b/>
        </w:rPr>
        <w:t>E. 7.4</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Bei allfälligem Fehlverhalten einzelner Beamter könnte er sich zudem an die zuständigen kroatischen Stellen wenden. Es ist nicht davon auszugehen, dass er bei einer Überstellung nach Kroatien in eine existen- zielle Notlage geraten wird.</w:t>
      </w:r>
    </w:p>
    <w:p>
      <w:r>
        <w:rPr>
          <w:b/>
        </w:rPr>
        <w:t>E. 7.5</w:t>
      </w:r>
    </w:p>
    <w:p>
      <w:r>
        <w:t>Unter diesen Umständen ist die Anwendung von Art. 3 Abs. 2 Dublin- III-VO nicht gerechtfertigt.</w:t>
      </w:r>
    </w:p>
    <w:p>
      <w:r>
        <w:rPr>
          <w:b/>
        </w:rPr>
        <w:t>E. 7.6.1</w:t>
      </w:r>
    </w:p>
    <w:p>
      <w:r>
        <w:t>Soweit der Beschwerdeführer mit seiner Beschwerde Arztberichte zu seiner gesundheitlichen Situation einreicht, ist festzuhalten,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w:t>
      </w:r>
    </w:p>
    <w:p>
      <w:r>
        <w:rPr>
          <w:b/>
        </w:rPr>
        <w:t>E. 7.6.2</w:t>
      </w:r>
    </w:p>
    <w:p>
      <w:r>
        <w:t>Eine solche Situation ist vorliegend offenkundig nicht gegeben. Den eingereichten Arztberichten zufolge leidet der Beschwerdeführer unter tro- ckener Haut mit Juckreiz, hingegen verneinte er die durch die Rechtsver- tretung vorgebrachten Nierenprobleme und der von ihm geltend gemachte</w:t>
      </w:r>
    </w:p>
    <w:p>
      <w:r>
        <w:t>E-2758/2023 Seite 8 "Fleck auf der Lunge" wurde gemäss den medizinischen Akten offenbar nicht bestätigt. Damit ist beim Beschwerdeführer nicht von gesundheitli- chen Beeinträchtigungen von einer Schwere auszugehen, dass sie die Feststellung der Unzulässigkeit im Sinn der restriktiven Rechtsprechung zu rechtfertigen vermöchten (vgl. A12/2). Im Übrigen verfügt Kroatien über eine ausreichende medizinische Infrastruktur (vgl. etwa BVGer D-5299/2022 vom 30. November 2022 E. 7.2 m.w.H.).</w:t>
      </w:r>
    </w:p>
    <w:p>
      <w:r>
        <w:rPr>
          <w:b/>
        </w:rPr>
        <w:t>E. 7.6.3</w:t>
      </w:r>
    </w:p>
    <w:p>
      <w:r>
        <w:t>Nach dem Gesagten kann der Beschwerdeführer kein konkretes und ernsthaftes Risiko dartun, dass seine Überstellung nach Kroatien die Ver- letzung völkerrechtlicher Bestimmungen zur Folge hätte.</w:t>
      </w:r>
    </w:p>
    <w:p>
      <w:r>
        <w:rPr>
          <w:b/>
        </w:rPr>
        <w:t>E. 7.7</w:t>
      </w:r>
    </w:p>
    <w:p>
      <w:r>
        <w:t>Gemäss Praxis des Bundesverwaltungsgerichts verfügt die Vor- instanz bei der Anwendung von Art. 29a Abs. 3 AsylV 1 über einen Ermes- sensspielraum (vgl. BVGE 2015/9 E. 7 f.). Die angefochtene Verfügung ist unter diesem Blickwinkel nicht zu beanstanden; insbesondere sind den Ak- ten keine Hinweise auf einen Ermessensmissbrauch oder ein Über- res- pektive Unterschreiten des Ermessens zu entnehmen. Das Gericht enthält sich deshalb in diesem Zusammenhang weiterer Äusserungen.</w:t>
      </w:r>
    </w:p>
    <w:p>
      <w:r>
        <w:rPr>
          <w:b/>
        </w:rPr>
        <w:t>E. 7.8</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 Dublin- III-VO vor. Kroatien bleibt damit der für die Durchführung des Asylverfah- rens zuständige Mitgliedstaat. Der Vollständigkeit halber ist festzuhalten, dass die Dublin-III-VO den Schutzsuchenden kein Recht einräumt, den ih- ren Antrag prüfenden Staat selber auszuwählen (vgl. auch BVGE 2010/45 E. 8.3).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 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w:t>
      </w:r>
    </w:p>
    <w:p>
      <w:r>
        <w:t>E-2758/2023 Seite 9</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10.1</w:t>
      </w:r>
    </w:p>
    <w:p>
      <w:r>
        <w:t>Der am 15. Mai 2023 superprovisorisch angeordnete Vollzugsstopp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E-2758/2023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