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E-2758/2010 vom 4. November 2010</w:t>
      </w:r>
    </w:p>
    <w:p>
      <w:r>
        <w:t>Bundesverwaltungsgericht, 2010-11-04, FR</w:t>
      </w:r>
    </w:p>
    <w:p>
      <w:r>
        <w:rPr>
          <w:b/>
        </w:rPr>
        <w:t xml:space="preserve">Quelle: </w:t>
      </w:r>
      <w:r>
        <w:t>https://mcp.opencaselaw.ch/entscheid/bvger_E-2758_2010</w:t>
      </w:r>
    </w:p>
    <w:p>
      <w:r>
        <w:t>FR: TAF E-2758/2010 du 4 novembre 2010</w:t>
      </w:r>
    </w:p>
    <w:p>
      <w:r>
        <w:t>IT: TAF E-2758/2010 del 4 novembre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A._______ a qualité pour recourir pour elle-même et pour ses enfants. Présenté dans la forme (cf. art. 52 PA) et le délai prescrit par la loi, le recours est recevable (cf.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pour être crédibles, des déclarations doivent être logiques, en ce sens qu'à l'examen, elles doivent révéler une certaine cohérence entre elles. Tel n'est pas vraiment le cas de celles de la recourante. En effet, une fois acquise, après un premier refus, la collaboration du mari de la recourante, l'intérêt des services de sécurité syriens aurait été de relâcher leur prisonnier au plus vite pour qu'il puisse se livrer aux activités d'informateur convenues sans que l'intervention d'un tiers, grassement payé par la famille du détenu - comme la recourante l'a laissé entendre - eût encore été nécessaire. Certes, on ne peut exclure que ce soit à la suite de l'intervention d'un tiers que ses geôliers aient consenti à la relaxe du mari de la recourante moyennant collaboration de sa part. Cela étant, compte tenu de la lourdeur des contraintes mises à cet élargissement, le paiement d'une forte somme d'argent à cet intermédiaire ne paraît alors guère justifié. Quoi qu'il en soit, en l'état, on peut tirer de la jurisprudence en matière d'asile concernant les Kurdes syriens qu'en pratique, un risque de persécution ne découlerait que d'une activité politique personnelle, revêtant une certaine intensité et montrant un degré d'engagement élevé (cf. arrêt du Tribunal administratif fédéral D-6922/2008 du 9 juin 2010 consid. 6.5ss et les références citées).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 En l'occurrence, selon les déclarations de la recourante, ni elle ni son mari n'ont jamais été engagés politiquement. Aussi est-ce à bon escient que l'ODM a considéré que le mari de la recourante ne pouvait guère présenter d'intérêt pour les services de sécurité syriens, cela d'autant moins que le couple était domicilié à E._______ et non pas dans le nord-est du pays, majoritairement peuplé de Kurdes et haut lieu des revendications de cette minorité. Par ailleurs, plus de trois mois après l'échéance qui lui avait été fixée pour produire le jugement annoncé dans son recours, la recourante n'a produit aucun document de ce genre. Or le Tribunal estime que si jugement il y a véritablement eu, elle aurait pu l'obtenir simplement en s'adressant à l'avocat mandaté par son mari pour entreprendre les démarches destinées à régler la succession du père de ce dernier plutôt qu'à son beau-frère comme elle l'a prétendu sans toutefois le démontrer. A l'instar de l'ODM, le Tribunal considère aussi que si les autorités avaient recherché le mari de la recourante avec l'acharnement que celle-ci leur prête, son mari ne se serait pas risqué à différer son départ, s'il est jamais parti, à cause de sa mère sur le point d'être opérée auprès de laquelle il voulait rester. Vu les risques encourus, il n'aurait pas non plus cherché à voir la recourante, surveillée le cas échéant par les services syriens, chez l'oncle où elle se trouvait à J._______. En outre, le Tribunal note que la recourante ne soutient pas que ses parents, avec lesquels elle est en contact et dont elle dit qu'ils vont bien (cf. pièce A11/15, p. 8), feraient l'objet d'une surveillance de la part des autorités syriennes depuis qu'elle-même a quitté la Syrie. La recourante n'a par conséquent pas été en mesure de faire apparaître la pertinence de ses motifs. En définitive, étant donné le comportement adopté par les autorités syriennes envers les mouvements kurdes et leurs adhérents, rappelé ci-dessus, il n'est pas vraisemblable que la recourante risque de manière hautement probable d'être arrêtée sur le territoire syrien à cause de son mari. Enfin, il est notoire que les personnes d'origine syrienne qui ont quitté la Syrie illégalement et qui y retournent, spécialement après un long séjour à l'étranger sont en règle générale soumises à un interrogatoire serré par les services de sécurité. N'ayant pas établi qu'elle remplissait les conditions de la qualité de réfugié au moment de sa fuite, ni allégué des activités politiques contre le gouvernement syrien à l'étranger, la recourante - sans profil politique particulier et qui n'est pas recherchée dans son pays selon l'Ambassade de Suisse à Damas - n'entre pas dans la catégorie des dissidents politiques auxquels pourraient s'en prendre les autorités en cas de retour (cf. Syrie, Mise à jour de la situation, Septembre 2001-mai 2004, rapport de l'OSAR, Berne, mai 2004, p. 15 s.; Syrie, Mise à jour : développements actuels, rapport de l'OSAR, Berne, 20 août 2008, p. 18; Commission de l'immigration et du statut de réfugié du Canada, Syrie : Information sur l'attitude du gouvernement à l'égard des citoyens qui ont présenté une demande d'asile, et le traitement qui leur est réservé [...], 1er mai 2008).</w:t>
      </w:r>
    </w:p>
    <w:p>
      <w:r>
        <w:rPr>
          <w:b/>
        </w:rPr>
        <w:t>E. 3.2</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6.2</w:t>
      </w:r>
    </w:p>
    <w:p>
      <w:r>
        <w:t>En ce qui concerne les autres engagements de la Suisse relevant du droit international, il sied d'examiner particulièrement si l'art. 3 de la Convention de sauvegarde des droits de l'homme et des libertés fondamentales du 4 novembre 1950 (CEDH, RS 0.101) qui interdit la torture, les peines ou traitements inhumains, trouve application dans le présent cas d'espèce.</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6.4.1</w:t>
      </w:r>
    </w:p>
    <w:p>
      <w:r>
        <w:t>Selon l'Ambassade de Suisse à Damas, le départ de la recourante et de ses enfants n'a pas été enregistré par les autorités compétentes. Il faut donc se demander si la sanction que la recourante encourt à son retour à cause de son départ clandestin correspond à ce qu'en a dit l'ODM.</w:t>
      </w:r>
    </w:p>
    <w:p>
      <w:r>
        <w:rPr>
          <w:b/>
        </w:rPr>
        <w:t>E. 6.4.2</w:t>
      </w:r>
    </w:p>
    <w:p>
      <w:r>
        <w:t>De fait, les Kurdes de Syrie sont répartis en trois catégories : ceux qui ont la nationalité syrienne, ceux qui ont le statut d'étrangers en étant inscrits dans les registres d'état civil de leur commune d'origine (Kurdes " ajanib ") et ceux qui ont le statut d'étrangers sans être enregistrés dans les registres officiels (Kurdes " maktumin "). Les autorités syriennes n'accordent aucun droit civil et politique aux deux dernières catégories. Les " Ajanib " obtiennent une pièce d'identité orange qui, en l'absence d'autres autorisations accordées à des conditions restrictives, ne leur donne pas le droit de quitter le territoire syrien. Quant aux " Maktumin ", ils n'ont pas d'existence légale sur le territoire syrien. La seule pièce d'identité dont ils disposent est une attestation établie par les autorités locales, soit par le responsable de la commune (" Mukhtar ") où ils vivent, en présence de témoins et avec approbation de la police locale. Ce document ne leur donne toutefois aucun droit et semble n'être pas toujours reconnu par les autorités syriennes. En l'occurrence, selon l'Ambassade suisse à E._______, la recourante, qui ne l'a pas contesté, a droit à un passeport syrien. Titulaire de la nationalité syrienne, elle est par conséquent soumise aux dispositions de la loi n° 42 du 31 décembre 1975 relative au règlement des passeports, à l'entrée et à la sortie des Arabes syriens. Selon cette loi, les ressortissants syriens n'ont pas le droit de quitter le territoire syrien, sauf s'ils ont un passeport ou des documents de voyage délivrés en vertu de ses dispositions. En outre, le Ministre de l'Intérieur peut, par un arrêté, obliger les ressortissants syriens à obtenir un visa de sortie avant leur départ. En cas de non-respect de ces dispositions, les ressortissants syriens encourent une peine de trois mois d'emprisonnement au maximum et une amende de 500 livres syriennes, ou l'une de ces deux peines (FAWAZ SALEH, La migration irrégulière en droit syrien, CARIM notes d'analyse et de synthèse 2008/56, Robert Schuman Centre for Advanced Studies, p. 6). En tant que telles, ces sanctions ne peuvent être assimilées à des traitements contraires à l'art. 3 CEDH. Aussi, pour cette raison et plus encore pour celle développée sous chiffre 3.1 i. f., le Tribunal ne saurait tenir pour établi un véritable risque concret et sérieux, pour la recourante et ses enfants, d'être exposés à des traitements prohibés par l'art. 3 CEDH ou 3 de la Convention contre la torture et autres traitements cruels, inhumains ou dégradants du 10 décembre 1984 (Conv. torture, RS 0.105), en cas de renvoi dans leur pays (cf. JICRA 1996 n° 18 consid. 14b spéc. let. ee p. 182ss) même si l'on ne peut exclure que la recourante soit brièvement détenue à son retour.</w:t>
      </w:r>
    </w:p>
    <w:p>
      <w:r>
        <w:rPr>
          <w:b/>
        </w:rPr>
        <w:t>E. 6.5</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la Syrie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Pour les motifs retenus à bon escient dans la décision disputée de l'ODM auxquels le Tribunal renvoie les recourants, cette mesure apparaît aussi raisonnablement exigible (cf. art. 83 al. 4 LEtr). Il ne ressort en effet du dossier aucun élément dont on pourrait inférer un risque concret pour les recourants consécutivement à l'exécution de leur renvoi. Notamment, l'autorité de céans relève que la recourante, qui est jeune, n'a pas allégué de problèmes de santé particuliers, ni pour elle ni pour ses enfants. Dans son pays, en particulier à E._______, la recourante peut aussi compter sur un réseau social stable.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Infondé, le recours est rejeté sans qu'il soit nécessaire de procéder à un échange d'écritures (cf. art. 111a al. 1 LAsi).</w:t>
      </w:r>
    </w:p>
    <w:p>
      <w:r>
        <w:rPr>
          <w:b/>
        </w:rPr>
        <w:t>E. 11</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Le Tribunal décide toutefois de renoncer à la perception de ces frais dans la mesure où les recourants sont indigents et du fait qu'au moment du dépôt du recours, leurs conclusions initiales n'étaient pas d'emblée vouées à l'échec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