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E-2756/2014 vom 20. August 2015</w:t>
      </w:r>
    </w:p>
    <w:p>
      <w:r>
        <w:t>Bundesverwaltungsgericht, 2015-08-20, DE</w:t>
      </w:r>
    </w:p>
    <w:p>
      <w:r>
        <w:rPr>
          <w:b/>
        </w:rPr>
        <w:t xml:space="preserve">Quelle: </w:t>
      </w:r>
      <w:r>
        <w:t>https://mcp.opencaselaw.ch/entscheid/bvger_E-2756_2014</w:t>
      </w:r>
    </w:p>
    <w:p>
      <w:r>
        <w:t>FR: TAF E-2756/2014 du 20 août 2015</w:t>
      </w:r>
    </w:p>
    <w:p>
      <w:r>
        <w:t>IT: TAF E-2756/2014 del 20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mit folgender Begründung ab: Er habe unter der Identität D._______, (...), in der Schweiz ein zweites Asylgesuch gestellt. Identitätsabklärungen durch den Fingerabdruckvergleich hätten ergeben, dass die richtige Identität auf A._______, (...), laute. Anlässlich der rechtlichen Gehörsgewährung habe er angegeben, Angst gehabt zu haben, Probleme mit den Migrationsbehörden zu erhalten. Diese Behauptungen seien als Schutzbehauptungen zu qualifizieren und nicht geeignet, die Erkenntnisse des BFM umzustossen. Es stehe somit fest, dass der Beschwerdeführer die Behörden im Rahmen des Asylverfahrens über seine Identität getäuscht habe. Er habe damit seine Mitwirkungspflicht verletzt. Durch das Verheimlichen seiner tatsächlichen Identität gegenüber den Asylbehörden sei auch seine persönliche Glaubwürdigkeit derart erschüttert, dass den Vorbringen jede Grundlage entzogen sei (Art. 7 AsylG).</w:t>
      </w:r>
    </w:p>
    <w:p>
      <w:r>
        <w:rPr>
          <w:b/>
        </w:rPr>
        <w:t>E. 4.2</w:t>
      </w:r>
    </w:p>
    <w:p>
      <w:r>
        <w:t>In der Beschwerde wird geltend gemacht, der Beschwerdeführer bedaure die falsche Namensangabe bei der Befragung. Aus Angst vor dem Zurückschicken habe er den Namen gefälscht. Eine Offenlegung der Namen hätte ihn und seinen Sohn aufgrund der Probleme im Heimatland nur in eine noch grössere Gefahr gebracht. Bei der rechtlichen Gehörsgewährung habe er nochmals den falschen Namen angegeben. Er ersuche das BFM, ihn richtig anzuhören, und nicht an der falschen Identität "aufzuhängen", damit dargelegt werden könne, weshalb eine Rückkehr nicht zumutbar sei.</w:t>
      </w:r>
    </w:p>
    <w:p>
      <w:r>
        <w:rPr>
          <w:b/>
        </w:rPr>
        <w:t>E. 4.3</w:t>
      </w:r>
    </w:p>
    <w:p>
      <w:r>
        <w:t>Gemäss Art. 8 Abs. 1 AsyG sind Asylsuchende verpflichtet, an der Feststellung des Sachverhalts mitzuwirken. Dabei haben sie insbesondere ihre Identität offenzulegen (Art. 8 Abs. 1 Bst. a AsylG), wobei der Begriff Identität den Namen, den Vornamen, die Staatsangehörigkeit, die Ethnie, das Geburtsdatum, den Geburtsort und das Geschlecht umfasst (Art. 1a Bst. a der Asylverordnung 1 über Verfahrensfragen vom 11. August 1999 [AsylV 1; SR 142311]). Fest steht, dass der Beschwerdeführer anlässlich des zweiten Asylverfahrens beim Ausfüllen des Personalienblatts und der summarischen Befragung angab, D._______ zu heissen (vgl. Akten Vorinstanz B1/2, B3/15). Im Rahmen des ersten Asylverfahrens liess er jedoch ein Laissez Passer auf den Namen A._______ ausstellen. Anlässlich der Gewährung des rechtlichen Gehörs gab der Beschwerdeführer zu, er sei mit dem Namen A._______ offiziell registriert. Für die Behauptung anlässlich der rechtlichen Gehörsgewährung, er habe den Namen vor drei oder vier Jahren (mithin 2010 oder 2011) auf Bitte einer Tante auf D._______ gewechselt, damit ihr Haus auf ihn umgeschrieben werde, liegen keine Beweise vor. Zudem ist diese Aussage wenig nachvollziehbar, da eine Überschreibung einen Rechtsakt benötigt und dafür mit Sicherheit die offiziellen und nicht erfundene Namen eingetragen werden. Dieser Behauptung wird aber auch deshalb die Grundlage entzogen, weil er in der Beschwerde angibt, er habe aus Angst, nach (...) zurückgeschickt zu werden, seinen Namen (A._______) gefälscht. Damit räumt der Beschwerdeführer explizit ein, die Asylbehörden über seine Identität getäuscht zu haben, weshalb das BFM zu Recht in Anwendung von Art. 36 Abs. 1 Bst. a AsylG auf eine Anhörung zur Sache verzichtete. Das gemäss dieser Norm verlangte rechtliche Gehör wurde ihm am 9. April 2014 gewährt. Es ergeben sich auch weder aus den gesetzlichen Grundlagen noch aus der Praxis Gründe, gestützt auf welche ausnahmsweise von einer entschuldbaren Handlung auszugehen wäre. Folglich muss sich der Beschwerdeführer die Rechtsfolgen seines Handelns anrechnen lassen. Diese bestehen vorliegend darin, dass keine Anhörung durchzuführen war, sondern nur das rechtliche Gehör gewährt werden musste. Eine Rückweisung der Sache an das SEM zu einer Anhörung und erneutem Entscheid ist somit nicht gerechtfertigt. Dass die Vorinstanz aus dem Verhalten des Beschwerdeführers, seine tatsächliche Identität zu verheimlichen, auf Unglaubhaftigkeit der Asylvorbringen geschlossen hat, zumal die persönliche Glaubwürdigkeit in einem Masse erschüttert sei, dass den Vorbringen jede Grundlage entzogen sei, vermag aufgrund der gesamten Akten im Ergebnis zu überzeugen. In der Beschwerde wird diesem Schluss nichts Stichhaltiges entgegengehalten. Jedenfalls ist keine zusätzliche Frist zur Nachreichung des angeblichen Briefes des ermordeten Häftlings anzusetzen. Der Beschwerdeführer hätte genügend Zeit gehabt, dieses Dokument im Rahmen seiner Mitwirkungspflicht von sich aus zu den Akten zu reichen. Es ist nicht ersichtlich, weshalb er dies bis heute nicht getan hat, zumal er behauptet, er habe den Brief auf der Flucht in die Schweiz mit sich getragen. Es ist daraus offensichtlich zu schliessen, dass ein solcher Brief gar nicht existiert und die vorgebrachten Asylgründe nicht auf Tatsachen beruhen.</w:t>
      </w:r>
    </w:p>
    <w:p>
      <w:r>
        <w:rPr>
          <w:b/>
        </w:rPr>
        <w:t>E. 4.4</w:t>
      </w:r>
    </w:p>
    <w:p>
      <w:r>
        <w:t>Insgesamt ergibt sich aus diesen Erwägungen, dass dem Beschwerdeführer bei einer Rückkehr nach (...) keine Gefährdung im Sinne des Asylgesetzes droht. Das BFM hat sein Asylgesuch zu Recht abgelehnt.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In (...) herrscht landesweit weder eine Bürgerkriegssituation noch eine Situation allgemeiner Gewalt. Im Weiteren liegen auch keine individuellen Gründe vor, welche gegen die Zumutbarkeit des Wegweisungsvollzuges sprechen würden. Der Beschwerdeführer absolvierte während zehn Jahren die Schule, danach in H._______ ein (...), arbeitete bis zu seiner ersten Ausreise im Jahre 2003 während acht Jahren (...), nach seiner Rückkehr nach (...) sei er (...) tätig gewesen und danach als (...) beim (...). Zudem spreche er neben (...) und (...) auch wenig Deutsch und Englisch. Sodann würden (...), (...) und (...) in I._______ leben. Gesundheitliche Probleme, welche einer Rückkehr entgegenstehen würden, sind nicht aktenkundig und werden in der Beschwerde auch nicht geltend gemacht. Bei dieser Sachlage besteht kein Anlass zur Annahme, der Beschwerdeführer würde bei einer Rückkehr nach (...) in eine existenzbedrohende Situation geraten. 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Das bis anhin noch nicht behandelte Gesuch um Verzicht auf die Erhebung eines Kostenvorschusses wird mit vorliegendem Entscheid in der Hauptsache gegenstandslos.</w:t>
      </w:r>
    </w:p>
    <w:p>
      <w:r>
        <w:rPr>
          <w:b/>
        </w:rPr>
        <w:t>E. 8.2</w:t>
      </w:r>
    </w:p>
    <w:p>
      <w:r>
        <w:t>Da aufgrund der Akten von der Bedürftigkeit des Beschwerdeführers auszugehen ist und die Beschwerde zum Zeitpunkt ihrer Erhebung nicht als aussichtslos zu qualifizieren war, ist das mit der Beschwerde gestellte Gesuch um Gewährung der unentgeltlichen Prozessführung gemäss Art. 65 Abs. 1 VwVG gutzuheissen. Auf die Erhebung von Verfahrenskosten ist folglich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