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E-2751/2018 vom 6. Juni 2018</w:t>
      </w:r>
    </w:p>
    <w:p>
      <w:r>
        <w:t>Bundesverwaltungsgericht, 2018-06-06, DE</w:t>
      </w:r>
    </w:p>
    <w:p>
      <w:r>
        <w:rPr>
          <w:b/>
        </w:rPr>
        <w:t xml:space="preserve">Quelle: </w:t>
      </w:r>
      <w:r>
        <w:t>https://mcp.opencaselaw.ch/entscheid/bvger_E-2751_2018</w:t>
      </w:r>
    </w:p>
    <w:p>
      <w:r>
        <w:t>FR: TAF E-2751/2018 du 6 juin 2018</w:t>
      </w:r>
    </w:p>
    <w:p>
      <w:r>
        <w:t>IT: TAF E-2751/2018 del 6 giugno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w:t>
      </w:r>
    </w:p>
    <w:p>
      <w:r>
        <w:t>Gemäss Art. 2 Abs. 1 AsylG gewährt die Schweiz Flüchtlingen grundsätzlich Asyl. 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kommt im Wesentlichen zum Schluss, das Aussageverhalten des Beschwerdeführers lasse nicht den Schluss zu, dass er im Heimatland im Zusammenhang mit seiner religiösen Überzeugung tatsächlich einer konkreten Bedrohungssituation ausgesetzt gewesen sei. So sei er wiederholt gestellten Fragen zu den Todesdrohungen immer wieder ausgewichen, seien seine diesbezüglichen Antworten nicht konzise sowie unpersönlich ausgefallen und habe er schliesslich lediglich darauf hingewiesen, was einer Person, die nicht bete, alles drohen könne. Die Ausführungen zum Vorfall mit dem Auto seien nicht erlebnisbasiert ausgefallen, würden sich in Behauptungen erschöpfen und liessen auf eine zurechtgelegte Geschichte schliessen. Vor dem Hintergrund, dass ein sunnitischer Extremismus unter Kurden nicht in der Art und Weise verbreitet sei, wie unter Arabern und die Regierung der autonomen Region Kurdistans zudem energisch gegen Islamisten vorgehe, erscheine im Übrigen die Antwort auf die Frage, weshalb er seine Gegner nicht bei den kurdischen Sicherheitskräften angezeigt habe, unverständlich. So habe er erklärt, er habe den Vorfall nicht zur Anzeige gebracht, weil nur einige bestimmte Personen über sein Problem informiert gewesen seien und weil er ohnehin nur zwei der Personen hätte anzeigen können. Schliesslich habe er selbst ausgeführt, gleichgesinnte Kollegen gehabt zu haben und es sei nicht obligatorisch gewesen, in einer Moschee zu beten.</w:t>
      </w:r>
    </w:p>
    <w:p>
      <w:r>
        <w:rPr>
          <w:b/>
        </w:rPr>
        <w:t>E. 4.2</w:t>
      </w:r>
    </w:p>
    <w:p>
      <w:r>
        <w:t>Auf Beschwerdeebene wird dem im Wesentlichen entgegengestellt, in Anbetracht der eingereichten Dokumente, der Aussagen des Beschwerdeführers sowie aufgrund von Berichten über den erweiterten Einfluss der Islamisten im Nordirak, seien seine Befürchtungen plausibel, nachvollziehbar und asylrelevant. Er habe sich in Kurdistan ein Leben aufgebaut. Er habe studiert und gearbeitet, sein Einkommen sei auch nicht schlecht gewesen. Er habe keinen wirtschaftlichen Grund zur Ausreise gehabt. Er habe lediglich nicht sein können, "wie er wollte" und habe seine Überzeugung und Weltanschauung verheimlichen müssen. Seitens der Polizei habe er nicht ausreichend Schutz erhalten können, zumal die salafistische Glaubensrichtung viele Anhänger habe. Ferner seien die Polizisten entweder selber Salafisten oder korrupt. Was das islamische Gedankengut anbelange, könne man feststellen, dass dieses im irakischen Kurdistan Fuss fasse. So seien der ehemalige Direktor der Partei "Vereinigung des Landes" und ein Schriftsteller von Fundamentalisten attackiert und schwer verletzt, ein anderer Schriftsteller sei bedroht worden. Sodann würden Recherchen des Beschwerdeführers anhand von Listen aus den Jahren 2005 und 2013 belegen, wie die Islamisten in den letzten Jahren ihren Einfluss im irakischen Kurdistan entfaltet hätten.</w:t>
      </w:r>
    </w:p>
    <w:p>
      <w:r>
        <w:rPr>
          <w:b/>
        </w:rPr>
        <w:t>E. 4.3</w:t>
      </w:r>
    </w:p>
    <w:p>
      <w:r>
        <w:t>Was die Beschwerde den vorinstanzlichen Ausführungen entgegenstellt, ist nicht geeignet, am Beweisergebnis etwas zu ändern. So hat die Vorinstanz den Massstab des Glaubhaftmachens nicht verkannt und auf den vorliegenden Fall korrekt angewendet. Ihre Schlussfolgerungen sind weder in tatsächlicher noch in rechtlicher Hinsicht zu beanstanden. Die Ausführungen des Beschwerdeführers zu seinem angeblichen Sinneswandel sind unsubstantiiert, diejenigen zu den angeblichen Drohungen unpersönlich und diejenigen zum Vorfall mit dem Auto stereotyp. Sie zeugen nicht von Selbsterlebtem (so stellt er beispielsweise in der Anhörung den "Angriff durch das Auto" in den Mittelpunkt seiner Fluchtgeschichte, weiss indes gemäss Befragung zur Person zunächst gar nicht, wer sich in dem Auto befunden haben soll, SEM-Akten, A15, S. 5, F23 und A8, S. 8, Ziff. 7.02). Die angefochtene Verfügung ist zutreffend und ausführlich begründet. Um Wiederholungen zu vermeiden, kann hierauf verwiesen werden. Die Erklärungen auf Beschwerdeebene zu dem Direktor einer Partei und zwei Schriftstellern gehen ins Leere, zumal deren Funktion nicht mit derjenigen des Beschwerdeführers vergleichbar ist und sie den Sinneswandel des Beschwerdeführers nicht zu belegen vermögen. Dasselbe gilt für die allgemeinen Ausführungen zur religiösen Entwicklung im Irak und die Listen der Parlamentsmitglieder aus den Jahren 2005 und 2013. Sie vermögen ebenfalls nicht die unglaubhaften Aussagen des Beschwerdeführers in ein glaubhaftes Licht zu rücken. Schliesslich ist das handschriftlich verfasste und angeblich vom Beschwerdeführer stammende, nicht übersetzte Schreiben ebenfalls nicht geeignet, am Beweisergebnis etwas zu ändern. In antizipierter Beweiswürdigung kann vorliegend auf eine Übersetzung verzichtet werden. Die Beschwerde zeigt mithin nicht auf, inwiefern die vorinstanzliche Beweiswürdigung Bundesrecht verletzen oder zu einer rechtsfehlerhaften Sachverhaltsfeststellung führen soll. Solches ist auch nicht ersichtlich. Die Vorinstanz hat das Asylgesuch zu Recht abgelehnt.</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regelt die Vorinstanz das Anwesenheitsverhältnis nach den gesetzlichen Bestimmungen über die vorläufige Aufnahme von Ausländerinnen und Ausländern (Art. 44 AsylG; Art. 83 Abs. 1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konkrete Anhaltspunkte dafür, dass der Beschwerdeführer für den Fall einer Ausschaffung in den Irak dort mit beachtlicher Wahrscheinlichkeit einer nach Art. 3 EMRK oder Art. 1 FoK verbotenen Strafe oder Behandlung ausgesetzt wäre. Der Vollzug der Wegweisung ist zulässig.</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ist. Die Vorinstanz stellt im Wesentlichen fest, der Beschwerdeführer stamme aus einer der vier von der kurdischen Regionalregierung kontrollierten nordirakischen Provinzen. Die Konfliktlage im Irak zeichne sich durch grosse Dynamik und Volatilität aus, womit allgemeine Aussagen über die Sicherheits- und Menschenrechtslage rasch ihre Gültigkeit verlieren könnten. Trotz grosser Flüchtlingswelle in die Autonome Region Kurdistan sei die Sicherheits- und Versorgungslage für Einheimische nicht derart gravierend, dass generell von einer konkreten Gefährdung im Sinne von Art. 83 Abs. 4 AuG gesprochen werden könne. Die Lage in den angrenzenden Distrikten in den Provinzen Ninawa, Salah ad-Din und Diyala habe sich zudem dahingehend wesentlich verändert, dass der Krieg gegen die Terrormiliz Islamischer Staat als Territorialmacht von der irakischen Regierung als beendet erklärt worden sei und damit das sogenannte Kalifat Vergangenheit sei. In der Autonomen Region Kurdistan herrsche keine Situation allgemeiner Gewalt. Der Wegweisungsvollzug sei deshalb grundsätzlich zumutbar, was im Einklang mit der Wegweisungspraxis des Bundesverwaltungsgerichts stehe. Ebenfalls würden keine individuellen Gründe gegen die Zumutbarkeit des Wegweisungsvollzugs sprechen (angefochtene Verfügung, S. 5). Im Urteil E-3737/2015 vom 14. Dezember 2015 (als Referenzurteil publiziert) stellte das Bundesverwaltungsgericht fest, dass in den vier Provinzen der Autonomen Kurdischen Region (das Gebiet wird seit Anfang 2015 durch die Provinzen Dohuk, Erbil, Sulaimaniya sowie Halabja gebildet) nach wie vor nicht von einer Situation allgemeiner Gewalt im Sinne von Art. 83 Abs. 4 AuG auszugehen ist und keine konkreten Anhaltspunkte für die Annahme vorliegen, dies werde sich in absehbarer Zeit massgeblich verändern (ursprünglich statt vieler BVGE 2008/5). An dieser Sichtweise wird weiterhin festgehalten (vgl. statt vieler Urteile des BVGer E-1700/2018 vom 17. April 2018 E. 6.3, D-6635/2017 vom 5. März 2018 E. 7.3.3, E-6267/2016 vom 2. November 2016, D-3405/2016 vom 14. September 2016). In Übereinstimmung mit den vorinstanzlichen Erwägungen, ist vorliegend von der Zumutbarkeit des Wegweisungsvollzugs auszugehen. So stammt der junge und gesunde Beschwerdeführer aus der Provinz Sulaimaniya, verfügt über ein solides familiäres und soziales Beziehungsnetz, gute Schulbildung, mehrjährige Berufserfahrung vor Ort sowie über einen gefestigten Wohnsitz. Auf Beschwerdeebene wird dem nichts Stichhaltiges entgegengestellt. Vielmehr wird dies bestätigt und ergänzt, dass er eine Stelle mit gutem Einkommen hatte ("sein Einkommen war auch nicht schlecht") und "Prestige in der Familie und Nachbarschaft" genoss (Beschwerde, S. 5, 7 und 9). Der Vollzug der Wegweisung ist zumutbar.</w:t>
      </w:r>
    </w:p>
    <w:p>
      <w:r>
        <w:rPr>
          <w:b/>
        </w:rPr>
        <w:t>E. 6.4</w:t>
      </w:r>
    </w:p>
    <w:p>
      <w:r>
        <w:t>Nach Art. 83 Abs. 2 AuG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w:t>
      </w:r>
    </w:p>
    <w:p>
      <w:r>
        <w:rPr>
          <w:b/>
        </w:rPr>
        <w:t>E. 6.5</w:t>
      </w:r>
    </w:p>
    <w:p>
      <w:r>
        <w:t>Die Vorinstanz hat den Vollzug demnach zu Recht als zulässig, zumutbar und möglich erachtet. Damit fällt die Anordnung einer vorläufigen Aufnahme ausser Betracht (Art. 83 Abs. 1-4 AuG).</w:t>
      </w:r>
    </w:p>
    <w:p>
      <w:r>
        <w:rPr>
          <w:b/>
        </w:rPr>
        <w:t>E. 7</w:t>
      </w:r>
    </w:p>
    <w:p>
      <w:r>
        <w:t>Aus diesen Erwägungen ergibt sich, dass die angefochtene Verfügung Bundesrecht nicht verletzt und auch sonst nicht zu beanstanden ist (Art. 106 AsylG). Die Beschwerde ist abzuweisen.</w:t>
      </w:r>
    </w:p>
    <w:p>
      <w:r>
        <w:rPr>
          <w:b/>
        </w:rPr>
        <w:t>E. 8.1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8.2</w:t>
      </w:r>
    </w:p>
    <w:p>
      <w:r>
        <w:t>Bei diesem Ausgang des Verfahrens sind die Kosten von Fr. 750.-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