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E-2747/2020 vom 2. Juli 2020</w:t>
      </w:r>
    </w:p>
    <w:p>
      <w:r>
        <w:t>Bundesverwaltungsgericht, 2020-07-02, DE</w:t>
      </w:r>
    </w:p>
    <w:p>
      <w:r>
        <w:rPr>
          <w:b/>
        </w:rPr>
        <w:t xml:space="preserve">Quelle: </w:t>
      </w:r>
      <w:r>
        <w:t>https://mcp.opencaselaw.ch/entscheid/bvger_E-2747_2020</w:t>
      </w:r>
    </w:p>
    <w:p>
      <w:r>
        <w:t>FR: TAF E-2747/2020 du 2 juillet 2020</w:t>
      </w:r>
    </w:p>
    <w:p>
      <w:r>
        <w:t>IT: TAF E-2747/2020 del 2 luglio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Auf den Antrag, es sei festzustellen, dass die Beschwerde aufschiebende Wirkung habe ist mangels Rechtschutzinteresses nicht einzutreten, da die aufschiebende Wirkung der Beschwerde nicht entzogen wurde (Art. 55 VwVG).</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5.1</w:t>
      </w:r>
    </w:p>
    <w:p>
      <w:r>
        <w:t>Nach Prüfung der Akten durch das Gericht ist in Übereinstimmung mit der Vorinstanz festzustellen, dass die Vorbringen des Beschwerdeführers den Anforderungen an das Glaubhaftmachen nicht standzuhalten vermögen, weshalb vorab auf die zutreffenden Erwägungen der Vorinstanz zu verweisen ist, die insbesondere zum Schluss kam, die geltend gemachte Tätigkeit für die LTTE und die darauf basierende Festnahme seien unglaubhaft, weil sie widersprüchlich, unplausibel und unsubstanziiert zu Protokoll gebracht worden seien. Die Erklärungsversuche auf Beschwerdeebene gehen ins Leere. Es trifft zwar zu, dass einer Befragung zur Person nicht dieselbe Gewichtung wie einer Anhörung zukommt. Klare asylrelevante Aussagen, die in der Erstbefragung von den späteren Aussagen abweichen, sind jedoch Widersprüche, die im Rahmen der Beweiswürdigung zu berücksichtigen sind (so auch der auf Beschwerdeebene zitierte Entscheid: Entscheidungen und Mitteilungen der Schweizerischen Asylrekurskommission [EMARK] 1993 Nr. 3 E. 3). Es sind keine Gründe ersichtlich, weshalb sich die Vorinstanz nicht auch auf die Ausführungen in der Befragung zur Person hätte stützen können. So berichtete der Beschwerdeführer bereits in dieser über seine Asylgründe und es wurden hierzu wichtige Zusatzfragen gestellt (SEM-Akten A6 Ziff. 7). Zudem bestätigte er in beiden Befragungen die Wahrheit sowie Vollständigkeit seiner gemachten Angaben. Vor diesem Hintergrund hat die Vorinstanz die Aussagen in der Befragung zur Person zu Recht bei der Beweiswürdigung berücksichtigt. Die Vorinstanz hat auch die Widersprüche innerhalb der Anhörung zutreffend erkannt, die nicht - wie in der Beschwerde behauptet - als komplementär, mithin als glaubhaft bezeichnet werden können. So hat die Vorinstanz namentlich zutreffend festgestellt, dass die Angaben zur Sammlung von Informationen für die LTTE zu oberflächlich ausgefallen sind, steht doch diese jahrelange Informationsbeschaffung im Zentrum der Fluchtvorbringen und wäre deshalb davon auszugehen, dass der Beschwerdeführer hierzu überzeugend berichten kann (z. B. SEM-Akten A16 F48 ff.). Zudem widersprach er sich erheblich zum Haftzeitpunkt (SEM-Akten A6 Ziff. 7.01 und A16 F17) und zur Haftdauer (SEM-Akten A6 Ziff. 7.01 und A16 F77), was selbst in der Beschwerde bestätigt wird (Beschwerde S. 13 Ziff. 7). Es ist ferner davon auszugehen, dass wenn die Verfolger des Beschwerdeführers tatsächliches Interesse an seiner Person gehabt hätten, sie ihn nicht erst 2015 beziehungsweise 2016 gefasst oder ihn dann auf Drängen der Familie entlassen hätten, um ihn dann wieder zu suchen. Somit erklärt sich auch, weshalb der Beschwerdeführer zu seiner Haftentlassung nichts Überzeugendes darlegen konnte (z. B. SEM-Akten A83 ff.). Im Übrigen hinterlassen die protokollierten Vorbringen einen stereotypen Eindruck; ihnen ist auch aus diesem Grund die Glaubhaftigkeit abzusprechen. Schliesslich kann der Beschwerdeführer aus dem Asylgesuch seines Vaters, das bereits mit Verfügung vom 28. November 2016 abgelehnt wurde, nichts zu seinen Gunsten ableiten. Aufgrund des Dargelegten sind sowohl der Kontakt zu den LTTE als auch die darauf aufgebauten Probleme unglaubhaft. Die Narbe des Beschwerdeführers muss demnach einen anderen als den dargelegten Ursprung haben. Entsprechende Verletzungen im Gesicht können im Alltagsleben vorkommen; es ist jedoch nicht Sache des Gerichts nach deren hypothetischen Ursachen zu forschen.</w:t>
      </w:r>
    </w:p>
    <w:p>
      <w:r>
        <w:rPr>
          <w:b/>
        </w:rPr>
        <w:t>E. 5.2</w:t>
      </w:r>
    </w:p>
    <w:p>
      <w:r>
        <w:t>Aufgrund der Beschwerdeausführungen und der Akten ist auch nicht davon auszugehen, dass der Beschwerdeführer bei einer Rückkehr nach Sri Lanka mit beachtlicher Wahrscheinlichkeit und in absehbarer Zukunft asylrelevanten Verfolgungsmassnahmen ausgesetzt sein wird. Das Bundesverwaltungsgericht hält diesbezüglich fest, bestimmte Risikofaktoren (Eintrag in die «Stop-List», Verbindung zu den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des BVGer E-1866/2015 vom 15. Juli 2016 E. 8.5.5 [als Referenzurteil publiziert]). Der Beschwerdeführer konnte keine asylrelevante Verfolgung vor seiner Ausreise glaubhaft geltend machen. Der geltend gemachte Kontakt zu den LTTE hat sich als unglaubhaft erwiesen. Auch andere Risikofaktoren im Sinne der erwähnten bundesverwaltungsgerichtlichen Rechtsprechung sind nicht ersichtlich. Es bestehen keine hinreichenden Anhaltspunkte dafür, dass dem Beschwerdeführer bei einer Rückkehr nach Sri Lanka persönlich ernsthafte Nachteile im Sinne von Art. 3 AsylG drohen könnten. Alleine aus der tamilischen Ethnie, einer Narbe im Gesicht oder einer längeren Landesabwesenheit, kann er jedenfalls keine Gefährdung seiner Person ableiten. Entsprechendes ergibt sich auch nicht aus den Beschwerdeausführungen mit Verweisen auf die aktuelle Lage vor Ort und die entsprechenden Berichte.</w:t>
      </w:r>
    </w:p>
    <w:p>
      <w:r>
        <w:rPr>
          <w:b/>
        </w:rPr>
        <w:t>E. 5.3</w:t>
      </w:r>
    </w:p>
    <w:p>
      <w:r>
        <w:t>Angesichts der aufgezeigten Sachlage erübrigt es sich auf weitere Ausführungen und Verweise insbesondere auf die Rechtsprechung oder auf Berichte in der Beschwerde einzugehen, da diese nicht geeignet sind, zu einer anderen rechtlichen Würdigung der Aktenlage zu führen. Es ist somit festzustellen, dass es dem Beschwerdeführer nicht gelungen ist, einen glaubhaften beziehungsweise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Zudem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Entwicklungen in Sri Lanka könnten sich zum heutigen Zeitpunkt auf den Beschwerdeführer auswirken (vgl. Entscheid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bejaht. Ihre Schlussfolgerungen sind im Ergebnis nicht zu beanstanden. Der bewaffnete Konflikt zwischen der sri-lankischen Regierung und den LTTE ist im Mai 2009 zu Ende gegangen. Aktuell herrscht in Sri Lanka weder Krieg noch eine Situation allgemeiner Gewalt. Diese Einschätzung gilt auch unter Berücksichtigung der neuesten Entwicklungen. Am 16. November 2019 wurde Gotabaya Rajapaksa zum neuen Präsidenten Sri Lankas gewählt (vgl. Neue Zürcher Zeitung [NZZ], In Sri Lanka kehrt der Rajapaksa-Clan an die Macht zurück, 17.11.2019; &lt;https://www.theguardian.com/world/2019/nov/17/sri-lanka-presidential-candidate-rajapaksa-premadas-count-continues , abgerufen am 17.06.2020). Gotabaya Rajapaksa war unter seinem älteren Bruder, dem ehemaligen Präsidenten Mahinda Rajapaksa, der von 2005 bis 2015 an der Macht war, Verteidigungssekretär. Er wurde angeklagt, zahlreiche Verbrechen gegen Journalistinnen und Journalisten sowie Aktivistinnen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&lt;https://www.aninews.in/news/world/asia/sri-lanka-35-including-presidents-brother-chamal-rajapksa-sworn-in-as-ministers-of-state20191127174753/&gt;, abgerufen am 17.06.2020). Beobachter und ethnisch-religiöse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Aufgrund der Akten ist dies zu verneinen. Die allgemeinen Beschwerdeausführungen und die eingereichten Berichte zur Lage in Sri Lanka und in der Diaspora vermögen an der Einschätzung, wonach nicht von einer in Sri Lanka herrschenden Situation allgemeiner Gewalt auszugehen ist, nichts zu ändern. Es besteht auch kein Grund zur Annahme, dass sich die jüngsten politischen Entwicklungen konkret auf den Beschwerdeführer auswirken könnten. Gemäss nach wie vor gültiger Rechtsprechung ist der Wegweisungsvollzug weiterhin zumutbar, wenn das Vorliegen der individuellen Zumutbarkeitskriterien (insbesondere Existenz eines tragfähigen familiären oder sozialen Beziehungsnetzes sowie Aussichten auf eine gesicherte Einkommens- und Wohnsituation) bejaht werden kann. In einem als Referenzurteil publizierten Entscheid erachtet das Bundesverwaltungsgericht auch den Wegweisungsvollzug ins «Vanni-Gebiet» als zumutbar (vgl. Urteil D-3619/2016 vom 16. Oktober 2017 E. 9.5). Der Beschwerdeführer verfügt über A-Levels (Maturität) und langjährige Berufserfahrung vor Ort. Er arbeitete in der familieneigenen Landwirtschaft und führte ein Transportunternehmen, mit dem er unter anderem die landwirtschaftlichen Produkte seiner Familie nach B._______ transportierte (SEM-Akten A16 F35). Zudem besitzt seine Familie zwei Häuser und sowohl im Distrikt Jaffna als auch im Vanni-Gebiet einige Ländereien (SEM-Akten A16 F35 und Beschwerde S. 3 f.). Ferner lebt seine Ehefrau mit seinem Sohn in C._______, wo sie (...) angestellt ist (SEM-Akten A16 F77 und Beschwerde S. 4). Es ist mithin davon auszugehen, dass der Beschwerdeführer in Sri Lanka sowohl über ein tragfähiges berufliches als auch familiäres Beziehungsnetz verfügt, auf dessen Hilfe er bereits zurückgreifen konnte und - sofern notwendig - bei einer Reintegration erneut zurückgreifen kann. Insbesondere aufgrund der gesicherten Wohnsituation (Ehefrau mit Beruf und Sohn) in C._______, stellt auch der Wegweisungsvollzug ins Vanni-Gebiet kein Hindernis dar. Auf Beschwerdeebene wird dem nichts Stichhaltiges entgegengestellt. Der Vollzug der Wegweisung ist folglich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des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 Der entsprechende Eventualantrag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Rechtspflege gemäss Art. 65 Abs. 1 VwVG. Aufgrund der vorstehenden Erwägungen ergibt sich indessen, dass seine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