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E-2744/2017 vom 23. Mai 2017</w:t>
      </w:r>
    </w:p>
    <w:p>
      <w:r>
        <w:t>Bundesverwaltungsgericht, 2017-05-23, DE</w:t>
      </w:r>
    </w:p>
    <w:p>
      <w:r>
        <w:rPr>
          <w:b/>
        </w:rPr>
        <w:t xml:space="preserve">Quelle: </w:t>
      </w:r>
      <w:r>
        <w:t>https://mcp.opencaselaw.ch/entscheid/bvger_E-2744_2017</w:t>
      </w:r>
    </w:p>
    <w:p>
      <w:r>
        <w:t>FR: TAF E-2744/2017 du 23 mai 2017</w:t>
      </w:r>
    </w:p>
    <w:p>
      <w:r>
        <w:t>IT: TAF E-2744/2017 del 23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4</w:t>
      </w:r>
    </w:p>
    <w:p>
      <w:r>
        <w:t>Die Vorinstanz hat den Massstab des Glaubhaftmachens nicht verkannt und auf den vorliegenden Fall korrekt angewendet. Ihre Schlussfolgerungen sind weder in tatsächlicher noch in rechtlicher Hinsicht zu beanstanden. Die ausführlichen Erklärungsversuche in der Rechtsmitteleingabe vermögen letztlich nicht zu überzeugen. Es wird nicht aufgezeigt, inwiefern die vorinstanzliche Beweiswürdigung Bundesrecht verletzen oder zu einer rechtsfehlerhaften Sachverhaltsfeststellung führen soll. Solches ist auch nicht ersichtlich. So wird in der Beschwerde bestätigt, dass die Aussagen des Beschwerdeführers "oberflächlich, nicht detailliert und unspezifisch" ausgefallen sind beziehungsweise die Fragen nur oberflächlich beantwortet wurden (Beschwerde, S. 2 und S. 8). Die Erklärungsversuche hierfür - dies sei auf Übersetzungs- beziehungsweise Sprachprobleme zurückzuführen oder der Beschwerdeführer habe Angst gehabt, frei zu sprechen, habe kaum Schulbildung, sei Analphabet - vermögen das gänzliche Fehlen von Details und Erlebnisberichten nicht aufzuwiegen. So wurde der Beschwerdeführer zu Beginn beider Befragungen mündlich über seine Mitwirkungs- beziehungsweise Vollständigkeitspflicht informiert und darüber, dass seine Aussagen vertraulich behandelt würden, er frei sprechen könne und die heimatlichen Behörden nicht in Kenntnis seiner Aussagen gesetzt würden (SEM-Akten, A3, S. 1 f. und A14, S. 2). Die Kenntnisnahme hiervon sowie die Vollständigkeit seiner Angaben hat er anlässlich beider Befragungen unterschriftlich bestätigt. Aus den Befragungsprotokollen wird sodann ersichtlich, dass die befragende Person bemüht war, den Beschwerdeführer zu einlässlicher Erzählung zu bewegen, was ohne Erfolg blieb. Diese Protokollstellen und weitere Hinweise in den Akten deuten zwar auf ein spezielles Persönlichkeitsprofil des Beschwerdeführers hin und es ergeben sich wohl auch Hinweise auf eine gewisse Traumatisierung. Diese kann aber auch mit anderen Ereignissen in Zusammenhang stehen. Daraus allein von einer flüchtlingsrelevanten Verfolgung auszugehen, vermag nicht zu überzeugen, zumal es auch auf Beschwerdeebene nicht gelingt, die Ereignisse nachvollziehbar darzulegen. Auch sind den Befragungsprotokollen keine Hinweise auf Übersetzungsprobleme zu entnehmen. Im Übrigen hat der Beschwerdeführer jeweils mündlich und unterschriftlich bestätigt, den Dolmetscher gut verstanden zu haben und konnte anlässlich der Zweitbefragung wahlweise Türkisch oder Kurdisch sprechen (SEM-Akten, A3, S. 2, 10; A14, S. 1). Insgesamt ist der Vorinstanz darin beizupflichten, dass die Vorbringen den Anforderungen an das Glaubhaftmachen nach Art. 7 AsylG nicht standhalten (vgl. EMARK 1993/3 E. 3 S. 13). So will der Beschwerdeführer beispielsweise in der Erstbefragung von der Polizei, in der Zweitbefragung vom Militär gesucht worden sein; dies gemäss Erstbefragung ausdrücklich nur in B._______, gemäss Zweitbefragung auch zweimal in C._______ (SEM-Akten, A3, S. 8 f. gegen A14, S. 12 f.). Gemäss Erstbefragung will er in Syrien mitgekämpft und Wechselmagazine mit Munition gefüllt haben (SEM-Akten, A3, S. 8 f.). Anlässlich der Zweitbefragung verneint er ausdrücklich, dort selbst gekämpft zu haben und will sich nicht im Kampfgebiet, sondern "viel weiter zurück" aufgehalten haben, wo er sich um die Verletzten gekümmert und Material transportiert habe (SEM-Akten, A14, S. 15, 17 insb. F188 und S. 21 insb. F238 ff.). Hinzu kommt, dass er Fragen zu Zeitangaben regelmässig ausweicht und - ausser immer wieder seinen Einsatz "für die Kurdische Sache" zu betonen - keine weiterführenden Angaben zu seiner politischen Überzeugung machen kann (z. B. SEM-Akten, A14, S. 5, 7 und 9). Nach dem Gesagten und vor dem Hintergrund, dass der Beschwerdeführer kein Parteimitglied ist (SEM-Akten, A14, S. 7 f., F69 und F83) und auch nie von den Behörden anlässlich der Kundgebungen identifiziert oder verhaftet worden ist (SEM-Akten, A14, S. 8, F81 f. und S. 16, F181 ff.), vermag nicht zu überzeugen, dass ein Haftbefehl besteht. So kann er zu diesem - ausser von einem Onkel davon gehört zu haben - auch nichts Substantiiertes darlegen. Das anwaltliche Schreiben ist vor dem Hintergrund dieser Erwägungen als Gefälligkeitsschreiben einzustufen, auf dessen Übersetzung verzichtet werden kann. Dies auch vor dem Hintergrund, dass er seit Einreichung seines Asylgesuchs weit über eineinhalb Jahre Zeit gehabt hätte, den angeblichen Haftbefehl oder andere stichhaltige Beweismittel einzureichen. Hieran ändern die Erklärungen in der Zweitbefragung oder auf Beschwerdeebene zu dem Anwalt und zur "Geheimhaltung" der Akten nichts. Die auf Beschwerdeebene angegebene und durch keine offiziellen Dokumente belegte Aktennummer, ist für sich alleine nicht geeignet, die Flüchtlingseigenschaft zu begründen. Schliesslich vermag auch der Hinweis auf zum Teil in der Schweiz lebende Onkel und Tanten, die in der Türkei inhaftiert oder verhaftet worden seien, nichts zu ändern; zumal er diesbezüglich keine Reflexverfolgung geltend macht, sondern bereits in der Erstbefragung erklärte, von deren Problemen nicht betroffen gewesen zu sein (SEM-Akten, A3, S. 6). Um Wiederholungen zu vermeiden, ist auf die zutreffenden Ausführungen der Vorinstanz zu verweisen, die zu Recht das Asylgesuch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die Türkei dort mit beachtlicher Wahrscheinlichkeit einer nach Art. 3 EMRK oder Art. 1 FoK verbotenen Strafe oder Behandlung ausgesetzt wäre. Der Vollzug der Wegweisung ist zulässig.</w:t>
      </w:r>
    </w:p>
    <w:p>
      <w:r>
        <w:rPr>
          <w:b/>
        </w:rPr>
        <w:t>E. 6.3</w:t>
      </w:r>
    </w:p>
    <w:p>
      <w:r>
        <w:t>Der Vollzug der Wegweisung kann nach Art. 83 Abs. 4 AuG unzumutbar sein, wenn die Ausländerin oder der Ausländer im Heimat- oder Herkunftsstaat aufgrund von Situationen wie Krieg, Bürgerkrieg, allgemeiner Gewalt und medizinischer Notlage konkret gefährdet ist. In der Türkei herrscht keine landesweite Situation allgemeiner Gewalt. Trotz Berücksichtigung des Wiederaufflammens des türkisch-kurdischen Konfliktes sowie der bewaffneten Auseinandersetzungen zwischen der Kurdischen Arbeiterpartei (PKK) und staatlichen Sicherheitskräften seit Juli 2015 in verschiedenen Provinzen im Südosten des Landes - zu denen die Heimatprovinz Mersin des Beschwerdeführers gehört (im Einzelnen: Batman, Diyarbakir, Marsin,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 auch nicht für Angehörige der kurdischen Ethnie - auszugehen (jüngst bestätigt in den Urteilen BVGer E-2420/2017 vom 8. Mai 2017 E. 6.2 und D-4568/2016 vom 15. März 2017 E. 6.4.2). Schliesslich sind den Akten keine Anhaltspunkte dafür zu entnehmen, dass der Beschwerdeführer bei einer Rückkehr aus individuellen Gründen in eine existenzbedrohende Situation geraten würde, zumal er vor Ort über Arbeitserfahrung auf dem Grossmarkt verfügt und dort seine Mutter, fünf Brüder sowie weitere Verwandte leben, auf deren Unterstützung er bereits vor seiner Ausreise zurückgreifen konnte (SEM-Akten, A3, S. 4 f., Ziff. 1.17.05 und Ziff. 3.01). Mithin verfügt er über ein tragfähiges Beziehungsnetz.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 Die Anträge betreffend aufschiebende Wirkung sowie Unterlassung der Kontaktaufnahme und Datenweitergabe sind gegenstandslos.</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