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E-2737/2012 vom 31. Mai 2012</w:t>
      </w:r>
    </w:p>
    <w:p>
      <w:r>
        <w:t>Bundesverwaltungsgericht, 2012-05-31, FR</w:t>
      </w:r>
    </w:p>
    <w:p>
      <w:r>
        <w:rPr>
          <w:b/>
        </w:rPr>
        <w:t xml:space="preserve">Quelle: </w:t>
      </w:r>
      <w:r>
        <w:t>https://mcp.opencaselaw.ch/entscheid/bvger_E-2737_2012</w:t>
      </w:r>
    </w:p>
    <w:p>
      <w:r>
        <w:t>FR: TAF E-2737/2012 du 31 mai 2012</w:t>
      </w:r>
    </w:p>
    <w:p>
      <w:r>
        <w:t>IT: TAF E-2737/2012 del 31 maggio 2012</w:t>
      </w:r>
    </w:p>
    <w:p>
      <w:pPr>
        <w:pStyle w:val="Heading2"/>
      </w:pPr>
      <w:r>
        <w:t>Regeste</w:t>
      </w:r>
    </w:p>
    <w:p>
      <w:r>
        <w:t>Asile (non-entrée en matière / nouvelle procédure d'asile en Suisse)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