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E-2735/2021 vom 3. März 2025</w:t>
      </w:r>
    </w:p>
    <w:p>
      <w:r>
        <w:t>Bundesverwaltungsgericht, 2025-03-03, DE</w:t>
      </w:r>
    </w:p>
    <w:p>
      <w:r>
        <w:rPr>
          <w:b/>
        </w:rPr>
        <w:t xml:space="preserve">Quelle: </w:t>
      </w:r>
      <w:r>
        <w:t>https://mcp.opencaselaw.ch/entscheid/bvger_E-2735_2021</w:t>
      </w:r>
    </w:p>
    <w:p>
      <w:r>
        <w:t>FR: TAF E-2735/2021 du 3 mars 2025</w:t>
      </w:r>
    </w:p>
    <w:p>
      <w:r>
        <w:t>IT: TAF E-2735/2021 del 3 marzo 2025</w:t>
      </w:r>
    </w:p>
    <w:p>
      <w:pPr>
        <w:pStyle w:val="Heading2"/>
      </w:pPr>
      <w:r>
        <w:t>Regeste</w:t>
      </w:r>
    </w:p>
    <w:p>
      <w:r>
        <w:t>Nichteintreten auf Asylgesuch und Wegweisung (Mehrfachgesuch)</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 treten (Art. 108 Abs. 3 AsylG und Art. 52 Abs. 1 VwVG).</w:t>
      </w:r>
    </w:p>
    <w:p>
      <w:r>
        <w:rPr>
          <w:b/>
        </w:rPr>
        <w:t>E. 2.1</w:t>
      </w:r>
    </w:p>
    <w:p>
      <w:r>
        <w:t>In der Rechtsmitteleingabe wird Auskunft über die Art und Weise der Spruchkörperbildung beantragt. Es ist festzuhalten, dass unter dem Gel- tungsbereich der alten Fassung des Geschäftsreglements für das Bundes- veraltungsgericht (VGR; SR 173.320.1) mit Grundsatzurteil BVGE 2022 I/2 die Praxis eingeführt wurde, auf Anfrage Auskunft darüber zu erteilen, ob manuelle Anpassungen bei der EDV-gestützten Spruchkörperbildung er- folgten. Dies vor dem Hintergrund der damaligen Bestrebungen, im VGR die Kriterien der Spruchkörperbildung umfassender beziehungsweise de- taillierter – auch zum Zwecke des Vertrauens in die Unabhängigkeit der Justiz – zu regeln (vgl. a.a.O. E. 4.6.2 f.). Am 1. Juni 2023 traten die neuen Bestimmungen des VGR betreffend Spruchkörperbildung in Kraft, welche diese neu in ausführlicher Weise regeln (vgl. Art. 31 f. VGR). Vor diesem Hintergrund besteht kein Anlass mehr, die vormalige Auskunftspraxis auf- recht zu erhalten, zumal diese stets unter dem Vorbehalt eingehender und umfassender Regelungen im VGR stand (vgl. a.a.O. E. 4.6.2 f.). Festzu- halten bleibt, dass bereits unter der beschriebenen Praxis Informationser- suchen, welche über die Auskunft bezüglich manueller Eingriffe hinausgin- gen, nicht entsprochen wurde. Die personelle Zusammensetzung des Spruchkörpers wurde dem Be- schwerdeführer mit Zwischenverfügung vom 21. Juni 2021 bekanntgege- ben. Die weitergehenden Auskunftsersuchen betreffend die Spruchkörper- bildung werden nach dem vorstehend Ausgeführten abgelehnt.</w:t>
      </w:r>
    </w:p>
    <w:p>
      <w:r>
        <w:t>E-2735/2021 Seite 6</w:t>
      </w:r>
    </w:p>
    <w:p>
      <w:r>
        <w:rPr>
          <w:b/>
        </w:rPr>
        <w:t>E. 2.2</w:t>
      </w:r>
    </w:p>
    <w:p>
      <w:r>
        <w:t>Mit Schreiben vom 5. Juli 2021 beantragt der Beschwerdeführer die Korrektur der vorliegenden Spruchkörperbildung, mit der Begründung, diese sei einseitig und nicht gesetzeskonform erfolgt. Dabei legt er nicht substantiiert dar, inwiefern der Spruchkörper im vorliegenden Fall nicht rechtmässig gebildet worden wäre, auch nicht mittels allgemeiner Ausfüh- rungen zur Spruchkörperbildungspraxis und parteipolitischen Überlegun- gen. Der Antrag ist abzuweisen.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Prüfungsgegenstand des vorliegenden Beschwerdeverfahrens bildet die Frage, ob die Vorinstanz zu Recht auf das Mehrfachgesuch vom 7. Mai 2021 nicht eingetreten ist. Das Bundesverwaltungsgericht enthält sich, so- fern es den Nichteintretensentscheid als unrechtmässig erachtet, einer ma- teriellen Prüfung; es hebt die angefochtene Verfügung auf und weist die Sache zu neuer Entscheidung an die Vorinstanz zurück. Die Frage der Wegweisung des Vollzugs wird materiell geprüft (vgl. BVGE 2007/8 E. 2.1 m.w.H.). In der angefochtenen Verfügung hält die Vorinstanz fest, in den vorange- gangenen Entscheiden sei bereits festgestellt worden, den Fluchtvorbrin- gen des Beschwerdeführers – namentlich mehrmalige behördliche Fest- nahmen und Befragungen – sei keine flüchtlingsrechtliche Relevanz zu at- testieren und dass der Beschwerdeführer keine Risikofaktoren im Sinne der Rechtsprechung aufweise. Sodann ergebe sich aus den im Mehrfach- gesuch enthaltenen Hinweisen auf die jüngsten politischen Entwicklungen in Sri Lanka kein persönlicher Bezug zum Beschwerdeführer und dessen Situation. Da die diesbezüglichen Vorbringen insofern nicht gehörig be- gründet seien, sei darauf nicht einzutreten. Die Durchführung einer weite- ren Anhörung zu den Asylgründen dränge sich nicht auf, zumal Folgever- fahren grundsätzlich schriftlich durchgeführt würden und auch eine ergän- zende Feststellung des Sachverhaltes nicht notwendig sei. Auf das Mehr- fachgesuch sei im Ergebnis gestützt auf Art. 111c AslyG i.V.m. Art. 13 Abs. 2 VwVG nicht einzutreten. Ferner würden die geltend gemachten psy- chischen Probleme dem Wegweisungsvollzug nicht entgegenstehen, zu- mal diese auch im Heimatland behandelt werden könnten.</w:t>
      </w:r>
    </w:p>
    <w:p>
      <w:r>
        <w:t>E-2735/2021 Seite 7</w:t>
      </w:r>
    </w:p>
    <w:p>
      <w:r>
        <w:rPr>
          <w:b/>
        </w:rPr>
        <w:t>E. 5</w:t>
      </w:r>
    </w:p>
    <w:p>
      <w:r>
        <w:t>In der Rechtsmitteleingabe vom 10. Juni 2021 wird geltend gemacht, die angefochtene Verfügung enthalte eine falsche Rechtsmittelbelehrung, zu- mal die Vorinstanz faktisch keinen Nichteintretensentscheid, sondern einen umfangreichen materiellen Entscheid gefällt habe. In der ergänzenden Ein- gabe vom 5. Juli 2021 führt der Beschwerdeführer ferner im Wesentlichen aus, er habe im Rahmen des Mehrfachgesuchs ausführlich, unter Beilage zahlreicher Beweismittel sowie Aufzeigung des individuellen Bezugs, dar- gelegt, weshalb er insbesondere angesichts der Verschärfung der Anti-Ter- ror-Gesetzgebung im Heimatland erheblich gefährdet sei. Insofern könne nicht davon gesprochen werden, das Wiedererwägungsgesuch sei nicht gehörig begründet worden. Sodann ergebe sich die Tatsache, dass sich die Vorinstanz materiell mit der Sache auseinandergesetzt habe, bereits aus dem Umstand, dass sie ohne inhaltliche Beurteilung in der Sache gar nicht beurteilen könnte, ob ein individueller Bezug dargelegt sei oder nicht. Im angefochtenen Entscheid werde denn auch auf eingereichte Beweis- mittel verwiesen.</w:t>
      </w:r>
    </w:p>
    <w:p>
      <w:r>
        <w:rPr>
          <w:b/>
        </w:rPr>
        <w:t>E. 6.1</w:t>
      </w:r>
    </w:p>
    <w:p>
      <w:r>
        <w:t>Der Beschwerdeführer macht geltend, die Vorinstanz habe die ange- fochtene Verfügung zu Unrecht als Nichteintretensentscheid bezeichnet und fälschlicherweise mit einer Rechtsmittelfrist von fünf Arbeitstagen statt 30 Tagen versehen.</w:t>
      </w:r>
    </w:p>
    <w:p>
      <w:r>
        <w:rPr>
          <w:b/>
        </w:rPr>
        <w:t>E. 6.2</w:t>
      </w:r>
    </w:p>
    <w:p>
      <w:r>
        <w:t>Nicht gehörig begründete Folgegesuche können als Ausdruck einer mangelnden Mitwirkung gemäss Art. 111c Abs. 1 AsylG in Verbindung mit Art. 13 Abs. 2 VwVG mit einem Nichteintretensentscheid erledigt werden (vgl. BVGE 2014/39 E. 7.1). Es ist festzuhalten, dass die Frage der genügenden beziehungsweise ge- hörigen Begründung des Mehrfachgesuchs vorliegend sowohl für das Ein- treten auf das Gesuch sowie für dessen spätere materielle Beurteilung re- levant ist. Mithin handelt es sich dabei um eine sogenannte doppelrele- vante Tatsache (vgl. zum Begriff KÖLZ/HÄNER/BERTSCHI, Verwaltungsver- fahren und Verwaltungsrechtspflege des Bundes, 3. Aufl. 2013, S. 14 f. m.H.a. Rechtsprechung), bei welcher bereits im Rahmen der Prüfung der Prozessvoraussetzungen materielle Überlegungen ausschlaggebend sein können. In der Rechtsmitteleingabe wird in diesem Zusammenhang nicht substantiiert dargelegt, inwiefern die Erwägungen der Vorinstanz über das hinaus gehen, was zur Begründung des Nichteintretens notwendig wäre beziehungsweise inwiefern sich die Vorinstanz darüber hinaus materiell</w:t>
      </w:r>
    </w:p>
    <w:p>
      <w:r>
        <w:t>E-2735/2021 Seite 8 äussert. Solches ist auch nicht ersichtlich. Insbesondere liegt kein Fall vor, in welchem die fehlerhafte Qualifizierung durch die Vorinstanz aufgrund eingehender materieller Überlegungen offensichtlich wäre (vgl. z.B. Urteil des BVGer E-5758/2019 vom 29. November 2019 E. 7.3). Der Beschwer- deführer macht ferner zu Recht nicht geltend, die Tatsache, dass sich die Vorinstanz zum Wegweisungsvollzug äusserte, ändere etwas an der recht- lichen Natur des angefochtenen Entscheids (vgl. auch E. 4). Aufgrund des Gesagten ist festzustellen, dass die Vorinstanz den erlasse- nen Entscheid zutreffend als Nichteintretensentscheid qualifizierte und da- mit auch die Rechtsmittelbelehrung der Verfügung korrekt ist.</w:t>
      </w:r>
    </w:p>
    <w:p>
      <w:r>
        <w:rPr>
          <w:b/>
        </w:rPr>
        <w:t>E. 6.3</w:t>
      </w:r>
    </w:p>
    <w:p>
      <w:r>
        <w:t>Soweit in der Rechtsmitteleingabe beantragt wird, für den Fall, dass das Gericht die Rechtsmittelbelehrung – das heisst der Hinweis auf die Be- schwerdefrist von fünf Arbeitstagen – als korrekt erachte, sei eine Frist zur Ergänzung der Beschwerde anzusetzen, ist dieser Antrag abzulehnen. Ins- besondere wird nicht begründet dargelegt, weshalb – wie vorliegend – im Falle einer korrekten Rechtsmittelbelehrung mit korrekter Rechtsmittelfrist eine zusätzliche Frist zur Ergänzung der Rechtsmitteleingabe angesetzt werden müsste. Im Übrigen ist der Antrag ohnehin als gegenstandlos ge- worden zu betrachten, da im Nachgang zur Beschwerdeerhebung vom</w:t>
      </w:r>
    </w:p>
    <w:p>
      <w:r>
        <w:rPr>
          <w:b/>
        </w:rPr>
        <w:t>E. 7</w:t>
      </w:r>
    </w:p>
    <w:p>
      <w:r>
        <w:t>Wie bereits ausgeführt, gelangte das Bundesverwaltungsgericht im Urteil E-2424/2020 vom 2. Juni 2020 - in Übereinstimmung mit dem angefochtenen Entscheid des SEM vom 7. April 2020 - zur Auffassung, dass keine Hinweise dafür vorliegen würden, die heimatlichen Behörden würden dem Beschwerdeführer ein separatistisches Profil unterstellen. Weiter hielt es fest, dass aus objektiver Sicht weder Gründe dafür vorgelegen hätten, dass seine Ausreise im Jahre 2016 geboten gewesen wäre, um sich vor flüchtlingsrechtlich relevanter Gefahr zu schützen, noch dass er solche in Zukunft zu befürchten hätte. Der Beschwerdeführer stellt sich rund elf Monate später in seinem Mehrfachgesuch vom 7. Mai 2021 auf den Standpunkt, durch die Veränderungen der Lage im Heimatland habe sich auch seine Gefährdung vor Verfolgung in relevanter Weise akzentuiert. Beilage 1 zum Wiedererwägungsgesuch enthält umfangreiche Ausführungen zu Entwicklungen in Sri Lanka, insbesondere im Zuge der sogenannte Osteranschläge im Jahre 2019. Es ist der Vorinstanz jedoch darin zuzustimmen, dass diese nicht in konkreten beziehungsweise erkennbaren Zusammenhang mit der Situation des Beschwerdeführers gestellt werden. Namentlich sind auch allgemeine Hinweise auf gesetzgeberische Änderung mit möglichen Auswirkungen auf die Rehabilitationshaft vorliegend bereits deshalb unbehilflich, da im erwähnten Urteil des Bundesverwaltungsgerichts festgestellt wurde, dass der Beschwerdeführer trotz wiederholter Festhaltung und Befragung nicht in Rehabilitationshaft gesetzt worden und ihm die Behörden gerade kein separatistisches Profil unterstellen würden. Damit zeigt sich auch, dass sich die neuen Vorbringen und deren Begründung kaum mit den Erwägungen der vorausgegangenen Entscheide auseinandersetzen. Die neue beziehungsweise angeblich akzentuierte Gefährdung bleibt dadurch letztendlich unbestimmte Mutmassung. Auch das Vorbringen, die bisherige Praxis der Schweizer Asylbehörden zur Gefährdungseinschätzung sei falsch, stellt im Kern bloss eine pauschale Behauptung dar, welche auch durch Verweis auf einen zum Zeitpunkt der Gesuchseinreichung aktuellen Bericht der Vereinten Nationen nicht näher substantiiert wird und noch weniger einen konkreten Bezug zum Beschwerdeführer herzustellen vermag. Trotz der ausführlichen länderspezifischen Darlegungen im Mehrfachgesuch erschöpft sich die Begründung der neuerdings geltend gemachten Gefährdung letztendlich in hypothetischen Überlegungen, wodurch der Beschwerdeführer sein Mehrfachgesuch - auch mit Blick auf die Erkenntnisse der vorausgegangenen Verfahren - nicht genügend zu begründen vermag. Ergänzend ist festzuhalten, dass der Beschwerdeführer den fraglichen Bezug zwischen den umfangreichen Ausführungen zu den Entwicklungen im Heimatland und seiner eigenen Situation auch auf Beschwerdeebene nicht herzustellen vermag. Dabei ist anzumerken, dass vorliegend eigentliches Prozessthema die Frage ist, ob die Vorinstanz zu Recht oder Unrecht nicht auf das Mehrfachgesuch eingetreten ist und nicht, ob der Beschwerdeführer auf Beschwerdeeben eine genügende Begründung seines Mehrfachgesuches nachzuliefern vermag. Auch auf die in der Eingabe vom 5. Juli 2021 im Lauftext enthalten prozessualen Rügen und Anträge ist nicht weiter einzugehen beziehungsweise sind diese abzuweisen, da sie unter der Prämisse erhoben werden, dass eine materielle Prüfung vorgenommen würde. Aufgrund des Ausgeführten ist festzuhalten, dass die Vorinstanz zu Recht gestützt auf Art. 111c Abs. 1 AsylG i.V.m. Art. 13 Abs. 2 VwVG auf das Mehrfachgesuch nicht eingetreten ist.</w:t>
      </w:r>
    </w:p>
    <w:p>
      <w:r>
        <w:rPr>
          <w:b/>
        </w:rPr>
        <w:t>E. 8</w:t>
      </w:r>
    </w:p>
    <w:p>
      <w:r>
        <w:t>Lehnt das Staatssekretariat das Asylgesuch beziehungsweise Mehrfachgesuch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9.2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auf ihn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Situation in Sri Lanka lässt den Wegweisungsvollzug nicht als unzulässig erscheinen.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Beschwerdeausführungen noch aus den Akten ergeben sich konkrete Anhaltspunkte dafür, dass der Beschwerdeführer für den Fall einer Ausschaffung nach Sri Lanka dort mit beachtlicher Wahrscheinlichkeit einer nach EMRK oder FoK verbotenen Strafe oder Behandlung ausgesetzt wäre. So weist er kein Profil auf, das auf die Gefahr hindeutet, zukünftig staatlichen Verfolgungsmassnahmen ausgesetzt zu sein. Es sind auch keine Anhaltspunkte ersichtlich, nach denen der Beschwerdeführer Massnahmen zu befürchten hätte, die - wenn überhaupt - über einen sogenannten background check (Befragung und Überprüfung von Tätigkeiten im In- und Ausland) hinausgingen oder dass ihm persönlich im Falle einer Rückkehr eine Gefährdung drohen könnte. Der Vollzug der Wegweisung ist zulässig.</w:t>
      </w:r>
    </w:p>
    <w:p>
      <w:r>
        <w:rPr>
          <w:b/>
        </w:rPr>
        <w:t>E. 9.3</w:t>
      </w:r>
    </w:p>
    <w:p>
      <w:r>
        <w:t>Nach Art. 83 Abs. 4 AIG kann der Vollzug für Ausländerinnen und Ausländer unzumutbar sein, wenn sie im Heimat- oder Herkunftsstaat auf Grund von Situationen wie Krieg, Bürgerkrieg, allgemeiner Gewalt und medizinischer Notlage konkret gefährdet sind. Nach konstanter Rechtsprechung stehen dem Wegweisungsvollzug nach Sri Lanka grundsätzlich keine solchen allgemeinen Umstände entgegen (vgl. bereits das vorausgegangene Urteil des BVGer E-2424/2020 vom 2. Juni 2020 E. 9.4.1 sowie aus jüngerer Zeit Urteil des BVGer E-4967/2021 vom 13. Januar 2025 E. 10.5). Gemäss dem Arztbericht vom 31. Juli 2020 leidet der Beschwerdeführer an einer (...) sowie einer (...). Laut Eingabe vom 5. Juli 2021 befinde er sich diesbezüglich in Therapie. Aktuelle Berichte hat der Beschwerdeführer im Rahmen seiner Mitwirkungspflicht (Art. 8 AsylG) seit Einreichung der Beschwerde vor dreieinhalb Jahren keine eingereicht. Es kann deshalb davon ausgegangen werden, dass er nicht weiter in ärztlicher Behandlung ist beziehungsweise einer solchen nicht weiter bedarf. Sodann ist festzuhalten, dass davon auszugehen ist, er werde auch vor dem Hintergrund der gegenwärtigen wirtschaftlichen Situation in Sri Lanka und der aktuellen Lage bei der Gesundheitsversorgung mit den ihm zuzumutenden Anstrengung das Notwendige - insbesondere Psychopharmaka - erhalten (vgl. Urteile des BVGer E-4026/2023 vom 8. Januar 2025 sowie eingehend das Urteil des BVGer D-5861/2022 vom 1. März 2023 E. 10.3.4). Im Übrigen enthält die Rechtsmitteleingabe keine substantiierten Ausführungen zur individuellen Zumutbarkeit des Wegweisungsvollzuges, weshalb - um Wiederholungen zu vermeiden - auf die Ausführungen der vorausgegangenen Entscheide verwiesen werden kann. Der Vollzug der Wegweisung erweist sich auch in individueller Hinsicht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E-2735/2021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