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E-2730/2017 vom 21. August 2018</w:t>
      </w:r>
    </w:p>
    <w:p>
      <w:r>
        <w:t>Bundesverwaltungsgericht, 2018-08-21, DE</w:t>
      </w:r>
    </w:p>
    <w:p>
      <w:r>
        <w:rPr>
          <w:b/>
        </w:rPr>
        <w:t xml:space="preserve">Quelle: </w:t>
      </w:r>
      <w:r>
        <w:t>https://mcp.opencaselaw.ch/entscheid/bvger_E-2730_2017</w:t>
      </w:r>
    </w:p>
    <w:p>
      <w:r>
        <w:t>FR: TAF E-2730/2017 du 21 août 2018</w:t>
      </w:r>
    </w:p>
    <w:p>
      <w:r>
        <w:t>IT: TAF E-2730/2017 del 21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argumentierte in der angefochtenen Verfügung, ausgehend vom Ausstelldatum der angeblich während des Urlaubs des Beschwerdeführers ausgestellten Identitätskarte ([...]) sowie seiner Angaben zum Zeitpunkt der Festnahme sowie zur Dauer seiner darauffolgenden Inhaftierung in mehreren Hafteinrichtungen ergebe sich ein Ausreisedatum in der Zeit um den (...) Juni 2013. Indessen habe er sowohl bei der Befragung zur Person als auch im Rahmen der Anhörung angegeben, er sei im September 2014 beziehungsweise am (...) September 2014 ausgereist. Die Aussagen des Beschwerdeführers zum Datum seiner Ausreise seien somit klar widersprüchlich. Seine Erklärung auf Vorhalt dieses Widerspruchs, er habe sich nach einem zweimonatigen Aufenthalt bei seinen Eltern während seines Urlaubs noch sechs bis acht Monate lang bei seinen Grosseltern versteckt, wirke nachgeschoben und stehe im Widerspruch zu seinen früheren Aussagen, wonach er schon nach zwei Monaten festgenommen worden sei. Auch sein Hinweis, er habe Mühe mit Daten und könnte sich irren, vermöge nicht zu überzeugen. Aufgrund der Schilderungen des Beschwerdeführers erscheine zwar überwiegend glaubhaft, dass er Militärdienst geleistet habe und eine gewisse Zeit in Haft gewesen sei. Hieraus könne aber nicht ohne weiteres darauf geschlossen werden, dass er den Militärdienst vorzeitig beendet habe. Die behauptete Desertion müsste nachgewiesen oder zumindest glaubhaft gemacht werden. Dies sei dem Beschwerdeführer in Anbetracht seiner widersprüchlichen zeitlichen Angaben jedoch nicht gelungen. Im Weiteren sei gemäss dem Koordinationsurteil D-7898/2015 des Bundesverwaltungsgerichts nicht mit überwiegender Wahrscheinlichkeit davon auszugehen, dass eritreische Staatsangehörige aufgrund einer illegalen Ausreise aus ihrem Heimatstaat mit Sanktionen rechnen müssten, die als Nachteile im Sinne von Art. 3 Abs. 2 AsylG zu qualifizieren wären. Andere Anknüpfungspunkte, die den Beschwerdeführer in den Augen des eritreischen Regimes als missliebig erscheinen lassen könnten, seien nicht ersichtlich, zumal seine Desertion sich als unglaubhaft erwiesen habe und er angegeben habe, ansonsten mit den Behörden keine Probleme gehabt zu haben. Ferner würden sich aus den Akten keine Anhaltspunkte dafür ergeben, dass dem Beschwerdeführer im Falle einer Rückkehr in den Heimatstaat mit beachtlicher Wahrscheinlichkeit eine durch Art. 3 EMRK verbotene Strafe oder Behandlung drohen würde, weshalb der Wegweisungsvollzug zulässig sei. Die allgemeine Lage in Eritrea lasse nicht auf eine konkrete Gefährdung schliessen. Es herrsche dort derzeit weder Krieg noch eine Situation der allgemeinen Gewalt im Sinne von Art. 83 Abs. 4 AuG, nachdem Eritrea mit Äthiopien im Jahr 2000 ein Friedensabkommen unterzeichnet habe und die Grenze durch eine UNO-Mission überwacht werde. Auch auf individueller Ebene liege nichts vor, was den Wegweisungsvollzug als unzumutbar erscheinen lassen würde. Die Eltern und Geschwister des Beschwerdeführers würden nach wie vor in ihrer Heimat leben und es gehe ihnen offenbar gut. Zudem verfüge er über Lebens- und Arbeitserfahrung und sei gesund. Es sei davon auszugehen dass er bei einer Rückkehr nach Eritrea wieder Fuss fassen und sich eine Existenz aufbauen könne, nötigenfalls mit Unterstützung seiner Familie.</w:t>
      </w:r>
    </w:p>
    <w:p>
      <w:r>
        <w:rPr>
          <w:b/>
        </w:rPr>
        <w:t>E. 3.2</w:t>
      </w:r>
    </w:p>
    <w:p>
      <w:r>
        <w:t>Der Beschwerdeführer wies zur Begründung seiner Beschwerde zunächst darauf hin, dass seine zeitlichen Angaben nur ungefähr seien, da er die genaue Dauer seiner jeweiligen Aufenthalte nicht mehr wisse. Die Daten seien für ihn damals nicht wichtig gewesen. Er habe zudem als er auf den Widerspruch in seinen Angaben angesprochen worden sei sofort ergänzt, den Aufenthalt bei seinen Grosseltern vergessen zu haben. Dieses Vorbringen könne daher nicht als nachgeschoben bewertet werden. Da während seines Aufenthalts bei den Grosseltern nichts Aussergewöhnliches passiert sei und das einschneidende Erlebnis der Verhaftung sich wiederum in seinem Elternhaus zugetragen habe, sei verständlich, dass er bei seinen Aussagen auf die Festnahme und die anschliessende Haft fokussiert habe. Seine Schilderung der zeitlichen Abfolge der Ereignisse sei widerspruchsfrei und es gebe auch keine Widersprüche zwischen seinen Angaben an der BzP und an der Anhörung. Die Desertion habe er ebenfalls glaubhaft geschildert, und er habe seine Verhaftung detailliert beschreiben können. Die Argumentation der Vorinstanz, es könne aus dem geleisteten Militärdienst und der langen Haft nicht auf eine Desertion geschlossen werden, sei nicht nachvollziehbar. Aufgrund seines Alters sei davon auszugehen, dass er militärdienstpflichtig sei. Dass er sich nach einem Urlaub dem Militärdienst entzogen habe und anschliessend verhaftet worden sei, lasse darauf schliessen, dass er desertiert sei. Es bestehe zudem ein direkter Zusammenhang zwischen seiner Desertion und der anschliessenden Flucht aus Eritrea. Die ihm drohende erneute Zwangsrekrutierung beziehungsweise eine Haftstrafe im Falle seiner Rückkehr in seinen Heimstaat stelle eine Gefährdung seiner Freiheit dar und würde einen unerträglichen psychischen Druck bewirken, weshalb er begründete Furcht vor asylrelevanter Verfolgung habe. Im Weiteren habe die Rechtsprechung des Bundesverwaltungsgerichts im Zeitpunkt seiner Flucht das Bestehen subjektiver Nachfluchtgründe illegal ausgereister eritreischer Staatsangehöriger bejaht, weil das eritreische Regime die illegale Ausreise als Zeichen politischer Opposition verstehe und deshalb drakonische Massnahmen ergreife. Die Vorinstanz habe mit ihrem Verweis auf das neue Koordinationsurteil D-7898/2015 des Bundesverwaltungsgerichts nicht berücksichtigt, dass er durch seine Festnahme und anschliessende Inhaftierung durchaus Kontakt zu den eritreischen Behörden gehabt habe, und dies ihn bei einer allfälligen Rückkehr gefährden würde. Auch seine Flucht aus dem Gefängnis und seine Desertion würden sich für ihn nachteilig auswirken. Er erfülle somit auch aus diesem Grund die Flüchtlingseigenschaft. Ausserdem sei der Wegweisungsvollzug wegen der zu erwartenden Zwangsrekrutierung unter Berücksichtigung von Art. 3 EMRK und Art. 4 EMRK als unzulässig zu erachten. Schliesslich sei vor dem Hintergrund der dokumentierten schwerwiegenden Menschenrechtsverletzungen in Eritrea und des willkürlichen Vorgehens des Regimes gegen seine Bürger auch die Unzumutbarkeit des Wegweisungsvollzugs nach Eritrea festzustellen.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der Gesetzgeber auch hier die Einhaltung der FK ausdrücklich vorbehält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Auffassung des Gerichts hinterlässt die Argumentation der Vorinstanz im Asylpunkt einen überzeugenden Eindruck. Insbesondere hat sie zu Recht festgestellt, dass die Asylvorbringen des Beschwerdeführers in Bezug auf die zeitliche Einordnung der von ihm beschriebenen Ereignisse erhebliche Widersprüche enthalten. Das von ihm genannte Ausreisdatum lässt sich in keiner Weise mit seinen Angaben zum Zeitpunkt und zu der Dauer seiner Desertion sowie der anschliessenden Inhaftierung vereinbaren. Das Gericht teilt die Auffassung, dass die Behauptung des Beschwerdeführers bei der Konfrontation mit diesem Widerspruch, er habe zunächst vergessen zu erwähnen, dass er sich nach zweimonatigem Aufenthalt bei seiner Familie vor der Festnahme noch während sechs bis acht Monaten bei seinen Grosseltern aufgehalten habe, als nachgeschoben zu erachten ist. Aus seinen zuvor protokollierten Aussagen zur Dauer seiner Abwesenheit vom Militärdienst geht eindeutig hervor, dass er angeblich bereits nach zwei Monaten festgenommen wurde (vgl. Protokoll Anhörung S. 7 F63, S. 10 F90). Seine Erklärungen dafür, weshalb er dieses Sachverhaltselement zunächst nicht erwähnte, sind wenig überzeugend. Überdies besteht auch unter Berücksichtigung des behaupteten Aufenthalts bei den Grosseltern weiterhin eine Diskrepanz von mehreren Monaten zwischen dem vom Beschwerdeführer genannten Datum seiner Ausreise und seiner zeitlichen Einordnung der Desertion sowie der Haftzeit. Die in der Beschwerdeschrift erhobene Behauptung, er könne nur ungefähre zeitliche Angaben machen, weil die Daten der damaligen Ereignisse für ihn nicht von Bedeutung gewesen seien, muss als unbehelfliche Schutzbehauptung bewertet werden. Ergänzend ist anzumerken, dass die Darstellung der Flucht aus dem Gefängnis (er habe mit einigen anderen Gefangenen eine Mauer ihrer Zelle eingedrückt und sie seien danach innert vier Stunden zu Fuss bis zur Grenze zu Äthiopien gelaufen [eine Strecke von knapp {...} km]) als offensichtlich realitätsfremd bezeichnet werden muss. Nach dem Gesagten ist dem Vorbringen der Desertion und der anschliessenden Festnahme und Inhaftierung des Beschwerdeführers die glaubhafte Grundlage entzogen. Die Aktenlage lässt es zwar nicht als ausgeschlossen erscheinen, dass der Beschwerdeführer in der Vergangenheit Militärdienst geleistet hat. Hieraus sowie aus dem Umstand, dass er im militärdienstpflichtigen Alter ist, kann jedoch entgegen der in der Beschwerdeeingabe vertretenen Auffassung nicht per se darauf geschlossen werden, dass er desertiert ist; es ist durchaus denkbar, dass er vom Nationaldienst suspendiert oder ordentlich daraus entlassen wurde.</w:t>
      </w:r>
    </w:p>
    <w:p>
      <w:r>
        <w:rPr>
          <w:b/>
        </w:rPr>
        <w:t>E. 5.2</w:t>
      </w:r>
    </w:p>
    <w:p>
      <w:r>
        <w:t>Angesichts dieses Zwischenergebnisses rechtfertigen sich überdies auch Zweifel an der vom Beschwerdeführer geschilderten illegalen Ausreise aus Eritrea. Jedenfalls ist diesem Vorbringen aber praxisgemäss keine asylrechtliche Relevanz beizumessen:</w:t>
      </w:r>
    </w:p>
    <w:p>
      <w:r>
        <w:rPr>
          <w:b/>
        </w:rPr>
        <w:t>E. 5.2.1</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5.2.2</w:t>
      </w:r>
    </w:p>
    <w:p>
      <w:r>
        <w:t>Gemäss den vorangegangenen Erwägungen vermochte der Beschwerdeführer nicht glaubhaft zu machen, dass er aus dem Militärdienst desertiert ist. Andere Anknüpfungspunkte, welche ihn in den Augen des eritreischen Regimes als missliebige Person erscheinen lassen könnten, sind ebenfalls nicht ersichtlich. Aus diesen Gründen ist der vom Beschwerdeführer vorgebrachten illegalen Ausreise aus seinem Heimatstaat praxisgemäss keine flüchtlingsrechtliche Relevanz beizumessen.</w:t>
      </w:r>
    </w:p>
    <w:p>
      <w:r>
        <w:rPr>
          <w:b/>
        </w:rPr>
        <w:t>E. 5.3</w:t>
      </w:r>
    </w:p>
    <w:p>
      <w:r>
        <w:t>Zusammenfassend ist es dem Beschwerdeführer somit - letztlich ungeachtet der Frage, ob der illegale Grenzübertritt vom SEM zu Recht als unglaubhaft qualifiziert worden ist - nicht gelungen, eine relevante Verfolgungsgefahr im Sinn von Art. 3 AsylG beziehungsweise Art. 54 AsylG darzutun. Das SEM hat folglich zu Recht seine Flüchtlingseigenschaft verneint und sein Asylgesuch abgelehnt.</w:t>
      </w:r>
    </w:p>
    <w:p>
      <w:r>
        <w:rPr>
          <w:b/>
        </w:rPr>
        <w:t>E. 5.4</w:t>
      </w:r>
    </w:p>
    <w:p>
      <w:r>
        <w:t>Bei diesem Ergebnis kann die Frage, ob der Beschwerdeführer angesichts der (offenbar noch nicht rechtskräftigen) Verurteilung durch das Strafgericht K._______ in Anwendung von Art. 53 (Bst. a oder c) AsylG als asylunwürdig zu erkennen wäre, offengelassen werden.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Das Bundesverwaltungsgericht hat sich mit dem Koordinationsentscheid E-5022/2017 vom 10. Juli 2018 (zur Publikation als Referenzurteil vorgesehen) mit der Frage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w:t>
      </w:r>
    </w:p>
    <w:p>
      <w:r>
        <w:rPr>
          <w:b/>
        </w:rPr>
        <w:t>E. 7.2.3.1</w:t>
      </w:r>
    </w:p>
    <w:p>
      <w:r>
        <w:t>Die Verpflichtung eritreischer Staatsbürgerinnen und Staatsbürger, Nationaldienst zu leisten, kann nach Auffassung des Gerichts nicht als Ausübung quasi-eigentumsrechtlicher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7.2.3.2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Urteil E-5022/2017 E. 6.1 insbes. 6.1.5).</w:t>
      </w:r>
    </w:p>
    <w:p>
      <w:r>
        <w:rPr>
          <w:b/>
        </w:rPr>
        <w:t>E. 7.2.3.3</w:t>
      </w:r>
    </w:p>
    <w:p>
      <w:r>
        <w:t>In der Folge befasste sich das Bundesverwaltungsgericht in seinem Koordinationsentscheid mit der Frage, ob bei einer Rückkehr nach Eritrea aufgrund einer allfälligen illegalen Ausreise eine Inhaftierung und in diesem Zusammenhang eine Verletzung des konventionsrechtlichen Verbots von Folter oder unmenschlicher Behandlung (Art. 3 EMRK) drohen könnte. Auch in diesem Zusammenhang ging das Gericht davon aus, dass in Eritrea Misshandlungen und sexuellen Übergriffe nach einer Inhaftierung nicht derart flächendeckend sind, dass jede Nationaldienstleistende und jeder Nationaldienstleistende dem ernsthaften Risiko ausgesetzt wäre, selbst solche Übergriffe zu erleiden. Es besteht daher auch insoweit kein ernsthaftes Risiko von Folter oder einer unmenschlichen Behandlung (vgl. Urteil E-5022/2017 E. 6.1 insbes. 6.1.6).</w:t>
      </w:r>
    </w:p>
    <w:p>
      <w:r>
        <w:rPr>
          <w:b/>
        </w:rPr>
        <w:t>E. 7.2.4</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7.2.5</w:t>
      </w:r>
    </w:p>
    <w:p>
      <w:r>
        <w:t>Auch die allgemeine Menschenrechtssituation im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Gestützt auf die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7.3.2</w:t>
      </w:r>
    </w:p>
    <w:p>
      <w:r>
        <w:t>Besondere Umstände, aufgrund derer von einer Existenzbedrohung ausgegangen werden müsste, sind beim Beschwerdeführer nicht ersichtlich, handelt es sich bei ihm doch gemäss Aktenlage um einen jungen und gesunden Mann mit Berufserfahrung in der Landwirtschaft sowie einem sozialen und familiären Beziehungsnetz im Heimatland. In der Beschwerdeschrift wurden denn auch keine individuellen Wegweisungshindernisse geltend gemacht, sondern die Unzumutbarkeit des Wegweisungsvollzugs wurde einzig mit der allgemeinen Menschenrechtssituation in Eritrea begründet.</w:t>
      </w:r>
    </w:p>
    <w:p>
      <w:r>
        <w:rPr>
          <w:b/>
        </w:rPr>
        <w:t>E. 7.3.3</w:t>
      </w:r>
    </w:p>
    <w:p>
      <w:r>
        <w:t>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7.3.4</w:t>
      </w:r>
    </w:p>
    <w:p>
      <w:r>
        <w:t>Im oben erwähnten Referenzurteil vom 10. Juli 2018 stellte das Bundesverwaltungsgericht auch fest, dass eine drohende Einziehung in den eritreischen Nationaldienst mangels einer hinreichend konkreten Gefährdung nicht generell zur Feststellung der Unzumutbarkeit des Wegweisungsvollzugs gemäss Art. 83 Abs. 4 AuG führen würde (vgl. Urteil E-5022/2017 E. 6.2).</w:t>
      </w:r>
    </w:p>
    <w:p>
      <w:r>
        <w:rPr>
          <w:b/>
        </w:rPr>
        <w:t>E. 7.3.5</w:t>
      </w:r>
    </w:p>
    <w:p>
      <w:r>
        <w:t>Nach dem Gesagten erweist sich der Vollzug der Wegweisung auch als zumutbar.</w:t>
      </w:r>
    </w:p>
    <w:p>
      <w:r>
        <w:rPr>
          <w:b/>
        </w:rPr>
        <w:t>E. 7.4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 Unter diesen Umständen kann auch die Frage offenbleiben, ob im vorliegenden Verfahren die Ausschlussklausel von Art. 83 Abs. 7 AuG hätte zur Anwendung gebracht werden können.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indessen mit Zwischenverfügung vom 19. Mai 2017 sein Gesuch um unentgeltliche Prozessführung gemäss Art. 65 Abs. 1 VwVG gutgeheissen wurde und keine Anhaltspunkte dafür vorliegen, dass sich seine finanzielle Lage seither entscheidrelevant verändert hätte, ist von der Auflage von Verfahrenskosten abzusehen.</w:t>
      </w:r>
    </w:p>
    <w:p>
      <w:r>
        <w:rPr>
          <w:b/>
        </w:rPr>
        <w:t>E. 10</w:t>
      </w:r>
    </w:p>
    <w:p>
      <w:r>
        <w:t>Mit der Instruktionsverfügung vom 19. Mai 2017 wurde auch das Gesuch des Beschwerdeführers um amtliche Verbeiständung gutgeheissen (Art. 110a Abs. 1 VwVG) und ihm sein Rechtsvertreter als Rechtsbeistand zugeordnet. Demnach ist diesem ein amtliches Honorar für seine notwendigen Aufwendungen im Beschwerdeverfahren auszurichten Nachdem keine Kostennote zu den Akten gereicht worden ist, muss das Honorar gestützt auf die Akten festgelegt werden (vgl. Art. 14 Abs. 2 Satz 2 des Reglements vom 21. Februar 2008 über die Kosten und Entschädigungen vor dem Bundesverwaltungsgericht [VGKE, SR 173.320.2]). Gestützt auf die in Betracht zu ziehenden Bemessungsfaktoren (Art. 9-13 VGKE) und den in der Zwischenverfügung kommunizierten Stundenansatz ist das Honorar auf insgesamt Fr. 800.- (inkl. aller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