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E-2722/2014 vom 21. Mai 2014</w:t>
      </w:r>
    </w:p>
    <w:p>
      <w:r>
        <w:t>Bundesverwaltungsgericht, 2014-05-21, DE</w:t>
      </w:r>
    </w:p>
    <w:p>
      <w:r>
        <w:rPr>
          <w:b/>
        </w:rPr>
        <w:t xml:space="preserve">Quelle: </w:t>
      </w:r>
      <w:r>
        <w:t>https://mcp.opencaselaw.ch/entscheid/bvger_E-2722_2014</w:t>
      </w:r>
    </w:p>
    <w:p>
      <w:r>
        <w:t>FR: TAF E-2722/2014 du 21 mai 2014</w:t>
      </w:r>
    </w:p>
    <w:p>
      <w:r>
        <w:t>IT: TAF E-2722/2014 del 21 maggio 2014</w:t>
      </w:r>
    </w:p>
    <w:p>
      <w:pPr>
        <w:pStyle w:val="Heading2"/>
      </w:pPr>
      <w:r>
        <w:t>Regeste</w:t>
      </w:r>
    </w:p>
    <w:p>
      <w:r>
        <w:t>Asylgesuch aus dem Ausland und Einreisebewilligung</w:t>
      </w:r>
    </w:p>
    <w:p>
      <w:pPr>
        <w:pStyle w:val="Heading2"/>
      </w:pPr>
      <w:r>
        <w:t>Erwägungen</w:t>
      </w:r>
    </w:p>
    <w:p>
      <w:r>
        <w:rPr>
          <w:b/>
        </w:rPr>
        <w:t>E. 1.1</w:t>
      </w:r>
    </w:p>
    <w:p>
      <w:r>
        <w:t>Gemäss Art. 31 VwVG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bisherige Fassung der entsprechenden Bestimmungen.</w:t>
      </w:r>
    </w:p>
    <w:p>
      <w:r>
        <w:rPr>
          <w:b/>
        </w:rPr>
        <w:t>E. 1.4</w:t>
      </w:r>
    </w:p>
    <w:p>
      <w:r>
        <w:t>Die Voraussetzungen für das Eintreten auf die Beschwerde sind vorliegend erfüllt. Zwar fehlen konkrete Anträge, aber es ergibt sich aus dem Kontext zweifelsfrei, dass um eine Überprüfung des vorinstanzlichen Entscheides ersucht wird.</w:t>
      </w:r>
    </w:p>
    <w:p>
      <w:r>
        <w:rPr>
          <w:b/>
        </w:rPr>
        <w:t>E. 2</w:t>
      </w:r>
    </w:p>
    <w:p>
      <w:r>
        <w:t>Die Kognition des Bundesverwaltungsgerichts und die zulässigen Rügen bestimmen sich nach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4.Ein Asylgesuch kann gemäss Art. 19 Abs. 1 aAsylG im Ausland bei ei­ner Schweizer Vertretung gestellt werden, die es mit einem Be­richt an das Bundesamt überweist (Art. 20 Abs. 1altAsylG). Hinsichtlich des Verfahrens bei der Vertretung sieht Art. 10 der Asyl­ver­ordnung 1 vom 11. August 1999 über Verfahrensfragen (aAsylV 1, SR 142.311) vor, dass diese mit der asylsuchenden Person in der Regel eine Befragung durchführt, unter bestimmten Umständen - wie vorliegend - (vgl. Bst. B. vorstehend) indessen auch davon absehen und weitere Abklärungen auf dem Schriftweg tätigen kann.</w:t>
      </w:r>
    </w:p>
    <w:p>
      <w:r>
        <w:rPr>
          <w:b/>
        </w:rPr>
        <w:t>E. 5</w:t>
      </w:r>
    </w:p>
    <w:p>
      <w:r>
        <w:t>Das BFM kann ein im Ausland gestelltes Asylgesuch ablehnen, wenn die asylsuchende Person keine Verfolgung glaubhaft machen oder ihr die Aufnahme in einem Drittstaat zugemutet werden kann (Art. 3, Art. 7 AsylG und Art. 52 Abs. 2 aAsylG). Gemäss Art. 20 Abs. 2 aAsylG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 6.6.1 Zur Begründung seiner angefochtenen Verfügung führte das Bundesamt aus, die Vorbringen liessen darauf schliessen, dass die Beschwerdeführerin mit den eritreischen Behörden ernsthafte Probleme habe und sich nicht in ein Flüchtlingslager des UNHCR im Sudan begeben habe und sie und ihre Kinder demnach auch nicht als Flüchtling registriert seien. Laut Berichten des UNHCR würden sich zahlreiche eritreische Flüchtlinge und Asylbewerber im Sudan befinden. Auch wenn die Lage unbestreitbar schwierig sein dürfte, würden keine konkreten Anhaltspunkte zur Annahme bestehen, dass ein weiterer Verbleib im Sudan für die Beschwerdeführenden nicht zumutbar oder möglich wäre. Die Befürchtung, nach Eritrea zurückgeschafft zu werden, werde nach den Erkenntnissen des Bundesamt als unbegründet erachtet. Aus den Vorbringen gehe hervor, dass die Beschwerdeführenden nunmehr (...) in Khartum leben würden und Unterstützung von anderen Familien erhielten. Die Hürden für eine zumutbare Existenz in Khartum seien im vorliegenden Fall nicht unüberwindbar. Zudem lebe im Sudan eine grosse eritreische Diaspora, die für in Not geratene Landsleute bereitstehe und weitgehend Unterstützung biete. Bezüglich der Beziehungsnähe zur Schweiz und zu anderen Staaten sei festzuhalten, dass den Vorbringen zufolge keine nahen Verwandten oder Bezugspersonen in der Schweiz leben würden. Auch andere Anknüpfungspunkte zur Schweiz seien den Akten nicht zu entnehmen. Demnach würden die Beschwerdeführenden den zusätzlichen subsidiären Schutz der Schweiz nicht benötigen, und es sei ihnen zuzumuten, im Sudan zu verbleiben. Sowohl die Asylgesuche als auch die Einreiseanträge seien abzulehnen. 6.2 Die Beschwerde beschränkt sich auf die Wiederholung und Bekräftigung der bereits im vorinstanzlichen Verfahren gemachten Vorbringen. Die Beschwerdeführenden seien im Sudan bedroht und die Lebensumstände seien sehr schwierig.</w:t>
      </w:r>
    </w:p>
    <w:p>
      <w:r>
        <w:rPr>
          <w:b/>
        </w:rPr>
        <w:t>E. 7.1</w:t>
      </w:r>
    </w:p>
    <w:p>
      <w:r>
        <w:t>Der Entscheid des BFM ist in allen Teilen zu stützen. Das Bundesverwaltungsgericht beschränkt sich deshalb auf die beiden nachstehenden Erwägungen.</w:t>
      </w:r>
    </w:p>
    <w:p>
      <w:r>
        <w:rPr>
          <w:b/>
        </w:rPr>
        <w:t>E. 7.2</w:t>
      </w:r>
    </w:p>
    <w:p>
      <w:r>
        <w:t>Im Kern geht es den Beschwerdeführenden darum, den schwierigen Lebensbedingungen im Sudan zu entkommen. Diesbezüglich ist indessen anzumerken, dass die Bewilligung der Einreise in die Schweiz nicht dem Ausgleich vergangenen Unrechts dient, sondern demjenigen gewährt werden soll, der aktuell des Schutzes des Zufluchtlandes bedarf. Die geltend gemachte Vorgeschichte sowie die behauptete und durch nichts belegte Bedrohungssituation sind ebenso wie die misslichen Lebensbedingungen, unter denen ein grosser Teil der Bevölkerung zu leiden hat, nicht von Asylrelevanz. Das Bundesverwaltungsgericht stuft in konstanter Praxis das Risiko für eritreische Flüchtlinge im Sudan, Opfer einer Deportation oder Entführung zu werden, als sehr gering ein (vgl. statt vieler Urteil E-4417/2011 vom 9. Feb­ruar 2012 E. 6.5.3).</w:t>
      </w:r>
    </w:p>
    <w:p>
      <w:r>
        <w:rPr>
          <w:b/>
        </w:rPr>
        <w:t>E. 7.3</w:t>
      </w:r>
    </w:p>
    <w:p>
      <w:r>
        <w:t>Es gelingt den Beschwerdeführenden nicht, eine aktuelle Gefährdung im Sinne von Art. 3 AsylG aufzuzeigen, welche die Bewilligung der Ein­reise in die Schweiz rechtfertigen würde. Die Schutzbedürftigkeit im Sinne von Art. 20 i.V.m. Art. 3 AsylG ist vorliegend nicht gegeben. Zudem ist eine Beziehungsnähe zur Schweiz zu verneinen (Art. 52 Abs. 2 AsylG). Das Bundesamt hat den Beschwerdeführenden zu Recht die Einreise in die Schweiz verweigert und das Asylgesuch abgelehnt.</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