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E-2719/2018 vom 25. Mai 2018</w:t>
      </w:r>
    </w:p>
    <w:p>
      <w:r>
        <w:t>Bundesverwaltungsgericht, 2018-05-25, DE</w:t>
      </w:r>
    </w:p>
    <w:p>
      <w:r>
        <w:rPr>
          <w:b/>
        </w:rPr>
        <w:t xml:space="preserve">Quelle: </w:t>
      </w:r>
      <w:r>
        <w:t>https://mcp.opencaselaw.ch/entscheid/bvger_E-2719_2018</w:t>
      </w:r>
    </w:p>
    <w:p>
      <w:r>
        <w:t>FR: TAF E-2719/2018 du 25 mai 2018</w:t>
      </w:r>
    </w:p>
    <w:p>
      <w:r>
        <w:t>IT: TAF E-2719/2018 del 25 maggio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Mit der vorliegenden Beschwerde werden lediglich die Dispositivziffern 3 ff. angefochten. Sie richtet sich somit ausschliesslich gegen die Wegweisung und deren Vollzug. Die Ziffern 1 (Verneinung der Flüchtlingseigenschaft) und 2 (Ablehnung des Asylgesuchs) sind mangels Anfechtung in Rechtskraft erwachsen. Sofern sich die Beschwerdeausführungen dennoch auf letztere beziehen, ist auf diese nicht weiter einzugehen. Der Antrag, es sei die aufschiebende Wirkung zu erteilen, ist gegenstandslos. Die aufschiebende Wirkung wurde der Beschwerde nicht entzogen (Art. 55 VwVG).</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4.1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4.2</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die Beschwerdeführerin für den Fall einer Ausschaffung in den Kosovo dort mit beachtlicher Wahrscheinlichkeit einer nach Art. 3 EMRK oder Art. 1 FoK verbotenen Strafe oder Behandlung ausgesetzt wäre. Der Vollzug der Wegweisung ist zulässig.</w:t>
      </w:r>
    </w:p>
    <w:p>
      <w:r>
        <w:rPr>
          <w:b/>
        </w:rPr>
        <w:t>E. 4.3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4.3.1</w:t>
      </w:r>
    </w:p>
    <w:p>
      <w:r>
        <w:t>Die Beschwerdeführerin bringt im Wesentlichen vor, sie könne aus individuellen Gründen nicht in den Kosovo zurückkehren. Aufgrund der Situation mit den Gläubigern ihres Ex-Mannes sowie der erlittenen Vergewaltigung leide sie an einer posttraumatischen Belastungsstörung und an Beckenbodenproblemen. Sie benötige eine umfassende psychiatrische und psychologische Behandlung, Eingriffe in den Beckenboden sowie ein sicheres Umfeld, um sich von der Gewalttat zu erholen. Es könne ihr nicht zugemutet werden, kurz nach der Vergewaltigung wieder in ihr Haus im Kosovo zurückzukehren. Zudem müsse sie erneut mit Besuchen von Gläubigern in ihrem Haus rechnen. Auch wenn es der Polizei gelänge, die beiden Vergewaltiger ausfindig zu machen und zu inhaftieren, würde dies nichts an ihrer individuellen Gefährdungslage ändern.</w:t>
      </w:r>
    </w:p>
    <w:p>
      <w:r>
        <w:rPr>
          <w:b/>
        </w:rPr>
        <w:t>E. 4.3.2</w:t>
      </w:r>
    </w:p>
    <w:p>
      <w:r>
        <w:t>Gemäss Art. 83 Abs. 4 AuG kann der Vollzug der Wegweisung insbesondere dann nicht zumutbar sein,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Bei der hier im Vordergrund stehenden Gefährdungsvariante der medizinischen Notlage nach Art. 83 Abs. 4 AuG ist besonders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(vgl. BVGE 2011/24 E. 11.1 oder 2009/28 E. 9.3.1).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und BVGE 2011/50 E. 8.3).</w:t>
      </w:r>
    </w:p>
    <w:p>
      <w:r>
        <w:rPr>
          <w:b/>
        </w:rPr>
        <w:t>E. 4.3.3</w:t>
      </w:r>
    </w:p>
    <w:p>
      <w:r>
        <w:t>In Bezug auf die allgemeine Lage im Kosovo ist festzustellen, dass der Bundesrat Kosovo mit Verordnung vom 25. Oktober 2017 als Staat bezeichnet hat, in welchen eine Rückkehr - insbesondere aufgrund des Fehlens einer Situation allgemeiner Gewalt und aufgrund vorhandener medizinischer Grundversorgung - als in der Regel zumutbar zu erachten ist (vgl. Art. 83 Abs. 5 AuG i.V.m. Art. 18 der Verordnung vom 11. August 1999 über den Vollzug der Weg- und Ausweisung sowie der Landesverweisung von ausländischen Personen [VVWAL, SR 142.281] sowie Anhang 2 zur VVWAL). Demnach ist der Vollzug der Wegweisung der Beschwerdeführerin als generell zumutbar zu erachten. Indem die Beschwerdeführerin die Dispositivziffern 1 und 2 der angefochtenen Verfügung nicht anficht, bestätigt sie die Schlussfolgerung der Vorinstanz, dass keine asylrelevante Verfolgung in ihrem Heimatland vorliegt. Zumal es sich beim Kosovo um ein verfolgungssicheres Land handelt, kann sich die Beschwerdeführerin - sofern überhaupt notwendig - mit ihren Anliegen und Befürchtungen (auch betreffend ihre angebliche Vergewaltigung) an die dortigen zuständigen Behörden und Stellen wenden (Kosovo gehört seit dem Beschluss des Bundesrates vom 6. März 2009 [in Kraft seit 1. April 2009] zu den verfolgungssicheren Ländern [sog. "Safe Country"], weshalb die Regelvermutung gilt, dass im Kosovo Schutz vor nichtstaatlicher Verfolgung gewährleistet ist). Es sprechen keine Gründe gegen die Zumutbarkeit einer Wegweisung der 46-jährigen Beschwerdeführerin in den Kosovo. So bestätigt die Beschwerde selbst, dass die Beschwerdeführerin dort ein "gutes Leben" hatte, "gutes Geld" verdiente und über ein Haus verfügt (Beschwerde, S. 6 und S. 8). Ferner kann sie auf ein intaktes familiäres Beziehungsnetz zurückgreifen und verfügt über mehrjährige Berufserfahrung (z. B. SEM-Akten, A8, S. 4 f.). Was die vorgebrachte posttraumatische Belastungsstörung, die Beckenbodenprobleme und die Blasenprobleme anbelangt, gilt das Nachfolgende.</w:t>
      </w:r>
    </w:p>
    <w:p>
      <w:r>
        <w:rPr>
          <w:b/>
        </w:rPr>
        <w:t>E. 4.3.4</w:t>
      </w:r>
    </w:p>
    <w:p>
      <w:r>
        <w:t>Gemäss Praxis des Bundesverwaltungsgerichts ist die von der Beschwerdeführerin benötigte medizinische Behandlung aufgrund der im Kosovo vorhandenen medizinischen Versorgungslage ausreichend gewährleistet. Zwar weist das kosovarische Gesundheitssystem nicht denselben Standard wie in westeuropäischen Ländern auf. Hingegen muss die Beschwerdeführerin bei einer Rückkehr in ihr Heimatland angesichts der dort bestehenden medizinischen Strukturen keine drastische und lebensbedrohende Verschlechterung ihres Gesundheitszustandes befürchten. So ist die Gesundheitsversorgung im Kosovo gesichert (statt vieler Urteil des BVGer E-545/2018 vom 27. April 2018 E. 6.6). Insbesondere gibt es im Kosovo ein mehrstufiges, nahezu flächendeckendes staatliches psychiatrisches Behandlungssystem (Urteil des BVGer E-5504/2016 vom 6. März 2018 E. 8.3). Der Zugang zu Behandlungsmöglichkeiten physischer und psychischer Erkrankungen ist auch für Angehörige ethnischer Minderheiten gewährleistet (ebd., vgl. auch BVGE 2011/50 E. 8.8.2). Somit kann die Beschwerdeführerin die in der Schweiz aufgenommenen Behandlungen im Kosovo fortsetzen. Vor diesem Hintergrund kann in antizipierter Beweiswürdigung auf eine Nachreichung weiterer Spitalunterlagen verzichtet werden. Der Antrag, es sei eine 30-tägige Frist zu gewähren, um komplette Spitalunterlagen beziehungsweise einen vollständigen Spitalbericht zu den Akten zu reichen, ist abzuweisen. Die pauschal getätigten Rügen - beispielsweise die abweisende Begründung der Vorinstanz sei insgesamt als nicht verhältnismässig, unvollständig und willkürlich zu bezeichnen - sind unbegründet. Insgesamt kann nicht auf eine konkrete Gefährdung in Form einer medizinischen Notlage nach dem Verständnis von Art. 83 Abs. 4 AuG geschlossen werden. Für eine Weiterbehandlung nach erfolgtem Wegweisungsvollzug ist im Übrigen auf die Möglichkeit einer individuellen medizinischen Rückkehrhilfe zu verweisen (Art. 93 Abs. 1 Bst. d AsylG, Art. 75 der Asylverordnung 2 vom 11. August 1999 über Finanzierungsfragen [AsylV 2, SR 142.312]). Der Vollzug der Wegweisung ist zumutbar.</w:t>
      </w:r>
    </w:p>
    <w:p>
      <w:r>
        <w:rPr>
          <w:b/>
        </w:rPr>
        <w:t>E. 4.4</w:t>
      </w:r>
    </w:p>
    <w:p>
      <w:r>
        <w:t>Nach Art. 83 Abs. 2 AuG ist der Vollzug in den Kosovo auch als möglich zu bezeichnen, weil es - sofern notwendig - der Beschwerdeführerin obliegt, sich die für eine Rückkehr notwendigen Reisedokumente bei der zuständigen Vertretung ihres Heimatstaates zu beschaffen (Art. 8 Abs. 4 AsylG und dazu BVGE 2008/34 E. 12). Der Vollzug der Wegweisung ist möglich.</w:t>
      </w:r>
    </w:p>
    <w:p>
      <w:r>
        <w:rPr>
          <w:b/>
        </w:rPr>
        <w:t>E. 4.5</w:t>
      </w:r>
    </w:p>
    <w:p>
      <w:r>
        <w:t>Die Vorinstanz hat den Vollzug in den Kosovo demnach zu Recht als zulässig, zumutbar und möglich erachtet. Damit fällt die Anordnung einer vorläufigen Aufnahme ausser Betracht (Art. 83 Abs. 1-4 AuG).</w:t>
      </w:r>
    </w:p>
    <w:p>
      <w:r>
        <w:rPr>
          <w:b/>
        </w:rPr>
        <w:t>E. 5</w:t>
      </w:r>
    </w:p>
    <w:p>
      <w:r>
        <w:t>Aus diesen Erwägungen ergibt sich, dass die angefochtene Verfügung Bundesrecht nicht verletzt und auch sonst nicht zu beanstanden ist (Art. 106 AsylG und Art. 49 VwVG). Die Beschwerde ist abzuweisen.</w:t>
      </w:r>
    </w:p>
    <w:p>
      <w:r>
        <w:rPr>
          <w:b/>
        </w:rPr>
        <w:t>E. 6.1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6.2</w:t>
      </w:r>
    </w:p>
    <w:p>
      <w:r>
        <w:t>Bei diesem Ausgang des Verfahrens sind die Kosten von Fr. 750.-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