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E-2717/2011 vom 25. Mai 2011</w:t>
      </w:r>
    </w:p>
    <w:p>
      <w:r>
        <w:t>Bundesverwaltungsgericht, 2011-05-25, DE</w:t>
      </w:r>
    </w:p>
    <w:p>
      <w:r>
        <w:rPr>
          <w:b/>
        </w:rPr>
        <w:t xml:space="preserve">Quelle: </w:t>
      </w:r>
      <w:r>
        <w:t>https://mcp.opencaselaw.ch/entscheid/bvger_E-2717_2011</w:t>
      </w:r>
    </w:p>
    <w:p>
      <w:r>
        <w:t>FR: TAF E-2717/2011 du 25 mai 2011</w:t>
      </w:r>
    </w:p>
    <w:p>
      <w:r>
        <w:t>IT: TAF E-2717/2011 del 25 maggio 2011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wird, soweit die Einreisebewilligung betreffend, gutge-heissen.</w:t>
      </w:r>
    </w:p>
    <w:p>
      <w:r>
        <w:rPr>
          <w:b/>
        </w:rPr>
        <w:t>E. 2</w:t>
      </w:r>
    </w:p>
    <w:p>
      <w:r>
        <w:t>Die Verfügung des BFM vom 11. April 2011 wird aufgehoben.</w:t>
      </w:r>
    </w:p>
    <w:p>
      <w:r>
        <w:rPr>
          <w:b/>
        </w:rPr>
        <w:t>E. 3</w:t>
      </w:r>
    </w:p>
    <w:p>
      <w:r>
        <w:t>Das BFM wird angewiesen, dem Beschwerdeführer die Einreise zu bewilligen und nach seiner Einreise das Asylverfahren in der Schweiz fortzuführen.</w:t>
      </w:r>
    </w:p>
    <w:p>
      <w:r>
        <w:rPr>
          <w:b/>
        </w:rPr>
        <w:t>E. 4</w:t>
      </w:r>
    </w:p>
    <w:p>
      <w:r>
        <w:t>Es werden keine Verfahrenskosten auferlegt.</w:t>
      </w:r>
    </w:p>
    <w:p>
      <w:r>
        <w:rPr>
          <w:b/>
        </w:rPr>
        <w:t>E. 5</w:t>
      </w:r>
    </w:p>
    <w:p>
      <w:r>
        <w:t>Die Vorinstanz wird angewiesen, dem Beschwerdeführer für das Verfahren vor dem Bundesverwaltungsgericht eine Parteientschädigung in der Höhe von Fr. 1081.- auszurichten.</w:t>
      </w:r>
    </w:p>
    <w:p>
      <w:r>
        <w:rPr>
          <w:b/>
        </w:rPr>
        <w:t>E. 6</w:t>
      </w:r>
    </w:p>
    <w:p>
      <w:r>
        <w:t>Dieses Urteil geht an den Beschwerdeführer, das BFM und die zuständige kantonale Behörde. Die Einzelrichterin: Die Gerichtsschreiberin: Regula Schenker Senn Anna Poschung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