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E-2711/2011 vom 24. Mai 2011</w:t>
      </w:r>
    </w:p>
    <w:p>
      <w:r>
        <w:t>Bundesverwaltungsgericht, 2011-05-24, DE</w:t>
      </w:r>
    </w:p>
    <w:p>
      <w:r>
        <w:rPr>
          <w:b/>
        </w:rPr>
        <w:t xml:space="preserve">Quelle: </w:t>
      </w:r>
      <w:r>
        <w:t>https://mcp.opencaselaw.ch/entscheid/bvger_E-2711_2011</w:t>
      </w:r>
    </w:p>
    <w:p>
      <w:r>
        <w:t>FR: TAF E-2711/2011 du 24 mai 2011</w:t>
      </w:r>
    </w:p>
    <w:p>
      <w:r>
        <w:t>IT: TAF E-2711/2011 del 24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vom 28. Februar 2011, welche aufgrund der Akten am 10. März 2011 an den Beschwerdeführer versandt wurde,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11. Mai 2011 der schweizerischen Post übergebene Beschwerde rechtzeitig erfolgt ist.</w:t>
      </w:r>
    </w:p>
    <w:p>
      <w:r>
        <w:rPr>
          <w:b/>
        </w:rPr>
        <w:t>E. 1.4</w:t>
      </w:r>
    </w:p>
    <w:p>
      <w:r>
        <w:t>Die Beschwerde ist nicht in einer Amtssprache des Bundes abgefasst (vgl. Art. 70 Abs. 1 der Bundesverfassung der Schweizerischen Eidgenossenschaft vom 18. April 1999 [BV, SR 101]). Aus prozessökonomischen Gründen wurde vorliegend auf eine Rückweisung der englischsprachigen Beschwerde zur Übersetzung in eine Amtssprache verzichtet, da das sinngemäss gestellte Rechtsbegehren verständlich und begründet ist, und das Bundesverwaltungsgericht praxisgemäss Eingaben wie die vorliegende entgegennimmt, ohne die Übersetzung in eine Amtssprache zu verlangen.</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die vom Beschwerdeführer geltend gemachten Vorbringen in seinem ersten Asylgesuch, die sich vor dem Jahre 2002 ereignet hätten, seien in der Verfügung vom 29. April 2002 beurteilt und als nicht ausreiserelevant qualifiziert worden. Die Vorbringen würden sich sodann auf einen Zeitraum bis ins Jahr 2008 beziehen. Somit bestünden zwischen den erwähnten damaligen Nachteilen und der zum heutigen Zeitpunkt gewünschten Einreise in die Schweiz kein genügend enger Kausalzusammenhang mehr. Seinen Angaben zu der Geldzahlung an Unbekannte und zu den von gewaltsamen Vorfällen gekennzeichneten Lebensumständen in C._______ seien keine unmittelbaren Nachteile zu entnehmen, die für den Beschwerdeführer persönlich betrachtet eine Zwangssituation zu begründen vermöchten, weshalb seine diesbezüglichen Vorbringen nicht einreiserelevant seien. Ferner handle es sich bei seinen Schilderungen zu den Geldzahlungen, die er hätte tätigen müssen, um Verfolgungshandlungen Dritter. Solche Übergriffe seien nur einreiserelevant, wenn der Heimatstaat seiner Schutzpflicht nicht nachkomme oder nicht in der Lage sei, Schutz zu gewähren. Der srilankische Staat gelte indes als schutzfähig, und der Beschwerdeführer habe demnach die Möglichkeit, sich an die Behörden zu wenden, um Schutz vor Verfolgung seitens Dritter zu ersuchen. Jedenfalls seien den Akten keine Hinweise zu entnehmen, welche auf eine Schutzunwilligkeit des Staates hindeuten würden, was auch dadurch belegt werde, dass der Beschwerdeführer persönlich keine Probleme mit den Behörden geltend gemacht habe. Das BFM führte weiter aus, dass bei einer objektiven Betrachtungsweise die Furcht des Beschwerdeführers vor einer zukünftigen Verfolgung als nicht begründet eingestuft werden müsse, zumal er objektiv betrachtet nicht akut gefährdet sei. Dies gelte umso mehr, als sich seit der Einreichung seines Asylgesuchs die allgemeine Situation in Sri Lanka massgeblich verändert habe, zumal das Land seit der Niederlage der separatistischen Liberation Tigers of Tamil Eelan (LTTE) gegen die srilankische Regierung im Mai 2009 wieder unter Regierungskontrolle sei und es zu keinen terroristischen Aktivitäten der LTTE mehr gekommen sei. Obschon die Sicherheits- und Menschenrechtslage noch nicht in allen Teilen des Landes zufriedenstellend sei, hätten Gewaltereignisse wie Entführungen, Verschleppungen und Tötungen sowie der Einfluss der bewaffneten Gruppen stark abgenommen respektive seien erheblich zurückgegangen. Vor diesem Hintergrund sei davon auszugehen, dass der Beschwerdeführer zum heutigen Zeitpunkt grundsätzlich keine Verfolgung mehr befürchten müsse. Aufgrund dieser Ausführungen und in Anbetracht seines fehlenden Gefährdungspotentials erfülle der Beschwerdeführer somit die Anforderungen an die Gewährung einer Einreisebewilligung nicht. Die fehlende Verfolgungsfurcht werde schliesslich dadurch bestärkt, dass der Beschwerdeführer zum Schreiben des BFM vom 11. Mai 2010 nicht Stellung genommen und sich daraufhin bei der schweizerischen Botschaft nicht mehr gemeldet habe.</w:t>
      </w:r>
    </w:p>
    <w:p>
      <w:r>
        <w:rPr>
          <w:b/>
        </w:rPr>
        <w:t>E. 5.2</w:t>
      </w:r>
    </w:p>
    <w:p>
      <w:r>
        <w:t>In seiner Rechtsmitteleingabe macht der Beschwerdeführer geltend, unbesehen davon, dass er vom Rehabilitationszentrum entlassen worden sei, werde er von Unbekannten bedroht, zumal diese ihn verdächtigten, mit den Sicherheitskräften zu kollaborieren. Zum gegenwärtigen Zeitpunkt lebe er in C._______, wo er von den Sicherheitsbehörden ständig belästigt und verhört werde. Vergangene Woche seien zwei bewaffnete Jugendliche auf einem Dreirad zu ihm nach Hause gekommen und hätten nach dem Geld gefragt. Als er beteuert habe, nicht zahlen zu können, seien sie gegangen und hätten gesagt, sie würden wieder kommen. Da das Nummernschild des Dreirads verdeckt gewesen sei, habe er die Nummer nicht aufschreiben können. Nach diesem Zwischenfall wisse er nicht mehr, was er tun solle. Er lebe in grosser Furcht, sei erschüttert und könne unter diesen Umständen nicht in C._______ leben.</w:t>
      </w:r>
    </w:p>
    <w:p>
      <w:r>
        <w:rPr>
          <w:b/>
        </w:rPr>
        <w:t>E. 5.3</w:t>
      </w:r>
    </w:p>
    <w:p>
      <w:r>
        <w:t>Soweit sich die Vorbringen des Beschwerdeführers auf die Vorfälle vor dem Jahr 2002 beziehen, ist auf die vorinstanzliche Verfügung zu verweisen, worin festgehalten wird, dass diese bereits Gegenstand der Verfügung vom 29. April 2002 gewesen sind und zum heutigen Zeitpunkt eine Asylgewährung respektive eine Einreisebewilligung in die Schweiz klarerweise nicht zu begründen vermögen. Auch die weiteren Nachteile, die vom Beschwerdeführer angeführt werden, sind in Übereinstimmung mit der Vorinstanz nicht geeignet, eine Gefährdungslage darzutun, die eine Einreisebewilligung rechtfertigen würde. Im Übrigen macht er auch keine konkreten Ereignisse für den Zeitraum nach dem Januar 2008 geltend, als Unbekannte von ihm eine beachtliche Geldsumme verlangt hätten. Insoweit der Beschwerdeführer in seiner Rechtsmitteleingabe anführt, er werde von Unbekannten bedroht und könne nicht mehr in Sri Lanka leben, ist festzuhalten, dass die allgemeine Situation für die Tamilen insbesondere im Norden und Osten Sri Lankas während des langjährigen Bürgerkriegs sehr schwierig war. Namentlich gab es eine Vielzahl von Gewaltereignissen, Entführungen und Ermordungen. Insoweit ist es durchaus denkbar, dass der Beschwerdeführer in der Vergangenheit von Unbekannten belästigt, bedroht und auch verhört wurde. Allerdings kommt solchen Belästigungen bereits aufgrund ihrer mangelnden Intensität in der Regel kein Verfolgungscharakter im Sinne von Art. 3 AsylG zu. Hinzu kommt, dass sich die allgemeine Sicherheitslage in Sri Lanka in jüngster Zeit sukzessive verbessert hat. Namentlich können sich die Tamilen im Land freier bewegen, wurden wichtige Verbindungswege wieder dem Verkehr übergeben und das restriktive Passsystem für Aus- und Einreisen nach Jaffna abgeschafft. Vor diesem Hintergrund und insbesondere aufgrund der Tatsache, dass dem Beschwerdeführer seit seiner Verhaftung, die ins Jahr 2000 zurückgeht, trotz angeblich immer wiederkehrender Drohungen und Belästigungen nichts Nachteiliges im Sinne von Art. 3 AsylG widerfahren ist, ist davon auszugehen, dass er in seiner Heimatregion keine asylrelevanten Verfolgungsmassnahmen zu befürchten hat. Aufgrund der Verhaftung seines Bruders vermag der Beschwerdeführer nichts zu seinen Gunsten abzuleiten. Überdies genügt die Angst vor einer allfällig künftig möglichen Bedrohung allein nicht, um auf das Vorliegen einer begründeten Furcht vor künftiger Verfolgung im Sinne von Art. 3 AsylG zu schliessen. Der Beschwerdeführer vermag mit den weiteren Ausführungen in der Rechtsmitteleingabe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