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E-2710/2018 vom 4. Dezember 2019</w:t>
      </w:r>
    </w:p>
    <w:p>
      <w:r>
        <w:t>Bundesverwaltungsgericht, 2019-12-04, FR</w:t>
      </w:r>
    </w:p>
    <w:p>
      <w:r>
        <w:rPr>
          <w:b/>
        </w:rPr>
        <w:t xml:space="preserve">Quelle: </w:t>
      </w:r>
      <w:r>
        <w:t>https://mcp.opencaselaw.ch/entscheid/bvger_E-2710_2018</w:t>
      </w:r>
    </w:p>
    <w:p>
      <w:r>
        <w:t>FR: TAF E-2710/2018 du 4 décembre 2019</w:t>
      </w:r>
    </w:p>
    <w:p>
      <w:r>
        <w:t>IT: TAF E-2710/2018 del 4 dicembre 2019</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 délai prescrits par la loi, le recours est recevable (art. 48 al. 1 et 52 al. 1 PA et anc. art. 108 al. 1 LAsi).</w:t>
      </w:r>
    </w:p>
    <w:p>
      <w:r>
        <w:rPr>
          <w:b/>
        </w:rPr>
        <w:t>E. 2</w:t>
      </w:r>
    </w:p>
    <w:p>
      <w:r>
        <w:t>A titre liminaire, il y a lieu de rappeler que le Tribunal applique le droit d'office, sans être lié par les motifs invoqués dans le recours (art. 106 al. 1 LAsi et 62 al. 4 PA, par renvoi de l'art. 6 LAsi et l'art. 37 LTAF)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 De même, le Tribunal s'appuie sur la situation au moment du prononcé de l'arrêt s'agissant de la crainte de persécution future ou de motifs d'empêchement à l'exécution du renvoi, que ceux-ci soient d'ordre juridique ou pratique (cf. ATAF 2009/19 consid. 5.1 ; 2008/12 consid. 5.2 ; 2008/4 consid. 5.4 ; arrêt du TAF D-5124/2010 du 14 juin 2013 consid. 1.4 et jurisp. cit.) ; pour ce faire, il prend en considération l'évolution de la situation intervenue depuis le dépôt de la demande d'asile.</w:t>
      </w:r>
    </w:p>
    <w:p>
      <w:r>
        <w:rPr>
          <w:b/>
        </w:rPr>
        <w:t>E. 3</w:t>
      </w:r>
    </w:p>
    <w:p>
      <w:r>
        <w:t>En l'occurrence, le recourant n'ayant pas recouru contre la décision du SEM, en tant qu'elle refuse de lui reconnaître la qualité de réfugié, rejette sa demande d'asile et prononce son renvoi dans le principe, ladite décision a acquis force de chose décidée sur ces points. Seule la question de l'exécution du renvoi de l'intéressé en Guinée demeure litigieuse. Dans ce cadre, il y a lieu de préciser que le recourant est devenu majeur en date du (...) 2019, de sorte que les questions relatives à sa minorité ainsi que les arguments développés à ce propos ont perdu leur actualité.</w:t>
      </w:r>
    </w:p>
    <w:p>
      <w:r>
        <w:rPr>
          <w:b/>
        </w:rPr>
        <w:t>E. 4.1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Etant donné que la qualité de réfugié du recourant n'a pas été reconnue, l'exécution du renvoi ne contrevient pas au principe de non-refoulement consacré aux art. 5 LAsi et 33 de la Convention relative au statut des réfugiés (RS 0.142.30).</w:t>
      </w:r>
    </w:p>
    <w:p>
      <w:r>
        <w:rPr>
          <w:b/>
        </w:rPr>
        <w:t>E. 5.3.1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5.3.2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5.3.3</w:t>
      </w:r>
    </w:p>
    <w:p>
      <w:r>
        <w:t>En l'occurrence, le recourant n'a pas démontré à satisfaction de droit qu'il existerait pour lui un risque réel, fondé sur des motifs avérés et sérieux, d'être victime de torture ou encore d'un traitement inhumain ou dégradant au sens de l'art. 3 CEDH en cas d'exécution du renvoi dans son pays d'origine. En effet, même à admettre la vraisemblance des mauvais traitements infligés, notamment par sa tante et par l'ami de son oncle, il n'est pas plausible qu'en tant qu'adulte, le recourant s'y retrouve à nouveau soumis. De même, s'agissant de sa crainte de représailles en relation avec le prétendu décès de sa famille, il ne saurait être retenu qu'il soit recherché neuf années plus tard, alors qu'il serait resté quatre années après les faits en Guinée, sans y être inquiété.</w:t>
      </w:r>
    </w:p>
    <w:p>
      <w:r>
        <w:rPr>
          <w:b/>
        </w:rPr>
        <w:t>E. 5.3.4</w:t>
      </w:r>
    </w:p>
    <w:p>
      <w:r>
        <w:t>Enfin, pour les motifs qui suivent (cf. consid. 6), les éléments de santé invoqués ne sont a fortiori pas décisifs sous l'angle de la licéité (cf. arrêts de la CourEDH N. c. Royaume-Uni du 27 mai 2008, n° 26565, par. 43, et Paposhvili c. Belgique du 13 décembre 2016, n° 41738/10, par. 178).</w:t>
      </w:r>
    </w:p>
    <w:p>
      <w:r>
        <w:rPr>
          <w:b/>
        </w:rPr>
        <w:t>E. 5.3.5</w:t>
      </w:r>
    </w:p>
    <w:p>
      <w:r>
        <w:t>Dans ces conditions,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6.2</w:t>
      </w:r>
    </w:p>
    <w:p>
      <w:r>
        <w:t>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En outre, il ne ressort du dossier aucun élément dont on pourrait inférer que l'exécution du renvoi impliquerait une mise en danger concrète du recourant. A cet égard, le Tribunal rappelle que la question de la prise en charge de l'intéressé en tant que mineur à son retour en Guinée ne se pose plus, dans la mesure où celui-ci a atteint sa majorité (cf. consid. 3).</w:t>
      </w:r>
    </w:p>
    <w:p>
      <w:r>
        <w:rPr>
          <w:b/>
        </w:rPr>
        <w:t>E. 6.4.1</w:t>
      </w:r>
    </w:p>
    <w:p>
      <w:r>
        <w:t>S'agissant des personnes en traitement médical en Suisse, l'exécution du renvoi ne devient toutefois inexigible au sens de l'art. 84 al. 4 LEI qu'à partir du moment où, en raison de l'impossibilité d'obtenir des soins essentiels dans leur pays d'origine, leur état de santé se dégraderait très rapidement, au point de conduire à la mise en danger concrète de leur vie en cas de retour ; par soins essentiels, il faut entendre les soins de médecine générale et d'urgence absolument nécessaires à la garantie de la dignité humaine (cf. ATAF 2011/50 consid. 8.3 ; 2009/2 consid. 9.3.2).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Jurisprudence et informations de la Commission suisse de recours en matière d'asile [JICRA] 1993 n° 38). Il ne suffit pas en soi de constater, pour admettre l'inexigibilité de l'exécution du renvoi, qu'un traitement prescrit sur la base de normes suisses ne pourrait être poursuivi dans le pays de l'étranger (par exemple, des traitements visant à atténuer ou guérir des troubles psychiques ou physiques qui ne peuvent être qualifiés de graves). Si les soins essentiels nécessaires peuvent être assurés dans le pays d'origine de l'étranger concerné, le cas échéant avec d'autres médications que celles prescrites en Suisse, l'exécution du renvoi dans ce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réf. cit.)</w:t>
      </w:r>
    </w:p>
    <w:p>
      <w:r>
        <w:rPr>
          <w:b/>
        </w:rPr>
        <w:t>E. 6.4.2</w:t>
      </w:r>
    </w:p>
    <w:p>
      <w:r>
        <w:t>Selon le dernier certificat médical en date (cf. certificat médical du 22 mai 2019), établi sur la base d'un examen du même jour, il appert que le recourant est suivi depuis le 8 février 2017 pour un épisode dépressif moyen (F32.1) et un état de stress post-traumatique (F43.1), lesquels seraient dû, selon le recourant, non seulement au suicide récent de l'un de ses amis et à son parcours traumatique, mais également à la double menace qu'il ressent, soit à l'incertitude de rester en Suisse et à la crainte de mourir une fois renvoyé en Guinée. Ce rapport fait également état de la nécessité de poursuivre le traitement pédopsychiatrique sous forme de consultations thérapeutiques hebdomadaires ainsi que le traitement médicamenteux (Zolof et Seroquel) mis en place, dont la posologie doit être réévaluée régulièrement pour éviter des éventuels effets secondaires. Les médecins préconisent, en outre, une prise en charge sociale, afin que le recourant puisse être réinséré et suivre une formation professionnelle adéquate. Ils estiment encore qu'en l'absence d'un suivi thérapeutique, le pronostic actuel et futur du recourant serait plutôt défavorable ; selon eux, un risque de péjoration de sa symptomatologie avec passage à l'acte auto-agressif existerait sans ledit suivi. En dépit de l'invitation faite par ordonnance du 7 mai 2019, aucun rapport médical détaillé et actualisé n'a été produit concernant la dyspnée à l'effort, les réactions anaphylactiques, la tuberculose pulmonaire latente ou les carences en vitamine D dont souffrait le recourant. Dans ces conditions, il peut être retenu que ces troubles sont aujourd'hui guéris ou ne nécessitent plus que des soins ne s'opposant pas à l'exécution du renvoi du recourant. À ce propos, le Tribunal précise qu'un traitement de rifampicine 600mg/j lui a été prescrit pendant quatre mois pour la tuberculose, de sorte que tout risque d'activation semble écarté. S'agissant de sa dyspnée à l'effort et de sa réaction anaphylactique, il apparaît qu'elles ne nécessitent pas d'autres soins que la prise de Ventolin ainsi que la possession d'un kit d'urgence. Quant à son opération de (...), elle a été effectuée en date du 20 février 2019. Partant, la question de l'exigibilité du renvoi se limitera à l'examen des troubles psychiques du recourant.</w:t>
      </w:r>
    </w:p>
    <w:p>
      <w:r>
        <w:rPr>
          <w:b/>
        </w:rPr>
        <w:t>E. 6.4.3</w:t>
      </w:r>
    </w:p>
    <w:p>
      <w:r>
        <w:t>En l'espèce, les troubles du recourant, tels qu'ils ressortent du rapport médical du 22 mai 2019, ne sont pas susceptibles de faire obstacle à l'exécution du renvoi. En effet, bien qu'il ressort dudit rapport que le recourant nécessite un suivi psychothérapeutique hebdomadaire et un traitement médicamenteux, son état de santé est stable et n'apparaît pas d'une gravité telle qu'il nécessiterait une prise en charge médicale particulièrement lourde - comme une hospitalisation -, qui ne pourrait pas être poursuivie en Guinée, plus particulièrement à Conakry, où le recourant a vécu durant quatre ans et où des traitements combinés sont disponibles auprès du service de psychiatrie du centre hospitalier universitaire de Donka (cf. arrêts du Tribunal D-7091/2018 du 14 février 2019, E-1688/2016 du 20 décembre 2018 consid. 6.5, D-4609/2018 du 21 novembre 2018 consid. 6.3, E-5541/2017 du 23 août 2018 consid. 11.3.3 et D-2700/2016 du 24 novembre 2016 consid. 7.5), voire auprès de médecins pratiquant la médecine interne à l'instar de celui assurant son suivi en Suisse. Si le système de santé publique en Guinée souffre de certaines carences en termes de capacité ainsi que d'infrastructures et qu'il est probable que la prise en charge de problèmes de santé ne corresponde pas aux standards médicaux suisses, cela ne permet pas encore de constater systématiquement l'existence d'un obstacle au sens de l'art. 83 al. 4 LEI ; dans le cas présent, rien n'indique que le recourant ne pourra pas y bénéficier des soins essentiels que requiert son syndrome de stress post-traumatique. Par ailleurs, s'il a certes été retenu que, de manière générale, l'obtention de neuroleptiques en Guinée est difficile et onéreuse (cf. arrêt du Tribunal E-1688/2016 du 20 décembre 2018 consid. 6.5), le SEM a relevé dans sa décision que la quétiapine était disponible à Conakry, ce qui n'a du reste pas été contesté par le recourant. De même, selon les informations à disposition du Tribunal, la sertraline est également disponible à Conakry, sous réserve d'un léger délai d'attente d'environ deux semaines. Dans ces conditions, en vue de faciliter son retour au pays, le recourant pourra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ainsi qu'une aide financière à sa réinsertion. Dans ces conditions, le recourant disposera de suffisamment de temps pour se réinsérer au pays ainsi que pour obtenir une consultation psychothérapeutique et un suivi médical auprès des structures de soins précitées, sans pour autant devoir suspendre son traitement médicamenteux. S'agissant du risque auto-agressif relevé par les médecins traitants, le Tribunal rappelle que selon la jurisprudence de la Cour européenne des droits de l'Homme (CourEDH), les menaces de suicide n'astreignent pas la Suisse à s'abstenir d'exécuter le renvoi, mais à prendre des mesures concrètes pour en prévenir la réalisation (cf. notamment arrêt affaire A. S. c. Suisse du 30 juin 2015, n°39350/13, par. 34 et réf. cit.). Ainsi, lors de la mise en oeuvre du renvoi, il appartiendra aux autorités chargées de l'exécution de bien l'organiser et en particulier de veiller à ce que le recourant soit pourvu des médicaments dont il a besoin, voire de prévoir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notamment parce qu'il faudrait prendre très au sérieux des menaces auto-agressives (art. 93 al. 1 let. d LAsi et art. 11 al. 4 de l'ordonnance sur l'exécution du renvoi et de l'expulsion d'étrangers du 11 août 1999 [OERE, RS 142.281]).</w:t>
      </w:r>
    </w:p>
    <w:p>
      <w:r>
        <w:rPr>
          <w:b/>
        </w:rPr>
        <w:t>E. 6.5</w:t>
      </w:r>
    </w:p>
    <w:p>
      <w:r>
        <w:t>Enfin, le recourant est majeur, sans charge de famille et est apparemment apte à travailler ; ce sont autant de facteurs qui devraient lui permettre de se réinstaller dans son pays sans rencontrer d'excessives difficultés. De plus, et bien que cela ne soit pas décisif en l'espèce, rien ne permet, en l'état, d'exclure la présence d'un éventuel réseau familial ou social dans son pays, qu'il lui sera loisible, le cas échéant, de réactiver.</w:t>
      </w:r>
    </w:p>
    <w:p>
      <w:r>
        <w:rPr>
          <w:b/>
        </w:rPr>
        <w:t>E. 6.6</w:t>
      </w:r>
    </w:p>
    <w:p>
      <w:r>
        <w:t>Pour ces motifs, l'exécution du renvoi doit être considérée comme raisonnablement exigible.</w:t>
      </w:r>
    </w:p>
    <w:p>
      <w:r>
        <w:rPr>
          <w:b/>
        </w:rPr>
        <w:t>E. 7</w:t>
      </w:r>
    </w:p>
    <w:p>
      <w:r>
        <w:t>Enfin, l'exécution de son renvoi est également possible (art. 83 al. 2 LEI ; ATAF 2008/34 consid. 12 et jurisp. cit.), le recourant étant tenu, le cas échéant, de collaborer à l'obtention de documents de voyage lui permettant de retourner dans son pays (art. 8 al. 4 LAsi). L'exécution du renvoi ne se heurte donc pas à des obstacles insurmontables d'ordre technique et s'avère également possible (cf. ATAF 2008/34 consid. 12).</w:t>
      </w:r>
    </w:p>
    <w:p>
      <w:r>
        <w:rPr>
          <w:b/>
        </w:rPr>
        <w:t>E. 8</w:t>
      </w:r>
    </w:p>
    <w:p>
      <w:r>
        <w:t>Au regard de ce qui précède et de la situation actuelle, la décision attaquée ne comporte rétrospectivement aucune violation du droit fédéral et se fonde sur un état de fait pertinent, exact et complet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La demande d'assistance judiciaire partielle ayant cependant été admise, il est statué sans frais (art. 65 al. 1 PA). (dispositif :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