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E-2710/2014 vom 13. Juni 2014</w:t>
      </w:r>
    </w:p>
    <w:p>
      <w:r>
        <w:t>Bundesverwaltungsgericht, 2014-06-13, DE</w:t>
      </w:r>
    </w:p>
    <w:p>
      <w:r>
        <w:rPr>
          <w:b/>
        </w:rPr>
        <w:t xml:space="preserve">Quelle: </w:t>
      </w:r>
      <w:r>
        <w:t>https://mcp.opencaselaw.ch/entscheid/bvger_E-2710_2014</w:t>
      </w:r>
    </w:p>
    <w:p>
      <w:r>
        <w:t>FR: TAF E-2710/2014 du 13 juin 2014</w:t>
      </w:r>
    </w:p>
    <w:p>
      <w:r>
        <w:t>IT: TAF E-2710/2014 del 13 giugno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c Ziff. 1 und Bst. d Ziff. 1 des Bundesgerichtsgesetzes vom 17. Juni 2005 [BGG, SR 173.110]).</w:t>
      </w:r>
    </w:p>
    <w:p>
      <w:r>
        <w:rPr>
          <w:b/>
        </w:rPr>
        <w:t>E. 1.2</w:t>
      </w:r>
    </w:p>
    <w:p>
      <w:r>
        <w:t>Die angefochtene BFM-Verfügung wurde der Beschwerdeführerin mit Schreiben der Botschaft, datiert am 28. April 2014, zugestellt. Wann die Verfügung bei der Beschwerdeführerin eingetroffen ist und sie somit davon Kenntnis nehmen konnte, lässt sich den Akten indes nicht entnehmen. Gemäss der internetbasierten Sendungsverfolgung der Schweizerischen Post, track &amp; trace, traf die Rechtsmitteleingabe der Beschwerdeführerin ans Bundesverwaltungsgericht, datiert am 8. Mai 2014, (Sendungsnummer [...]) am 19. Mai 2014 bei der Schweizerischen Post in Zürich ein. Die Rechtsmitteleingabe wäre somit selbst dann rechtzeitig erfolgt, wenn die Botschaft der Beschwerdeführerin die Verfügung direkt am 28. April 2014 eröffnet hätte (Art. 108 Abs. 1 AsylG i.V.m. Art. 21 VwVG). Die Beschwerde ist demnach in jedem Fall frist- und formgerecht eingereicht. Die Beschwerdeführerin hat am Verfahren vor der Vorinstanz teilgenommen, ist durch die angefochtene Verfügung besonders berührt und hat ein schützenswertes Interesse an deren Aufhebung beziehungsweise Änderung. Sie ist daher zur Einreichung der Beschwerde legitimiert (Art. 105 und Art. 108 Abs. 1 AsylG, Art. 48 Abs. 1 sowie Art. 52 VwVG). Auf die Beschwerde ist demnach einzutreten.</w:t>
      </w:r>
    </w:p>
    <w:p>
      <w:r>
        <w:rPr>
          <w:b/>
        </w:rPr>
        <w:t>E. 1.3</w:t>
      </w:r>
    </w:p>
    <w:p>
      <w:r>
        <w:t>Die Beschwerde ist in Englisch und somit nicht in einer Amtssprache des Bundes abgefasst. Auf die Ansetzung einer Frist zur Beschwerdeverbesserung oder auf die Einholung einer Übersetzung kann indessen aus prozessökonomischen Gründen praxisgemäss verzichtet werden, da der Eingabe der Beschwerdeführerin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vgl. zum Ganzen BVGE 2007/30 E. 3-5 m.w.H.). Im vorliegenden Verfahren hat die Botschaft die Beschwerdeführerin am 9. August 2011 zu ihren Asylgesuchsgründen angehört. Auf eine weitere Anhörung durch die Botschaft besteht nach dem Gesagten kein Anspruch, weshalb dem in der Rechtsmitteleingabe der Beschwerdeführerin sinngemäss gestellten Antrag, sie sei von der Botschaft erneut zu einer Anhörung einzuladen, nicht zu entsprechen ist.</w:t>
      </w:r>
    </w:p>
    <w:p>
      <w:r>
        <w:rPr>
          <w:b/>
        </w:rPr>
        <w:t>E. 4</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 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5.1</w:t>
      </w:r>
    </w:p>
    <w:p>
      <w:r>
        <w:t>Um beurteilen zu können, ob die Beschwerdeführerin einer Gefährdung im Sinne von Art. 3 AsylG ausgesetzt ist, muss angesichts der vorgebrachten Gesuchsgründe insbesondere der Frage nachgegangen werden, ob aufgrund der LTTE-Mitgliedschaft des Ehemannes beziehungsweise seiner Verbringung in ein Rehabilitation Centre die Gefahr einer Reflexverfolgung bestand beziehungsweise heute besteht. So können asylrelevante Nachteile gemäss Art. 3 AsylG auch aus einer Reflexverfolgung entstehen, bei der sich Verfolgungsmassnahmen abgesehen von der primär betroffenen Person auch auf Familienangehörige erstrecken. Dies ist insbesondere hinsichtlich begründeter Furcht vor Verfolgung relevant (vgl. Entscheid D-3692/2006 vom 7. April 2009 E. 4.1 und 4.2 m.w.H.). Dabei ist zu berücksichtigen, dass verfolgt im Sinne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w:t>
      </w:r>
    </w:p>
    <w:p>
      <w:r>
        <w:rPr>
          <w:b/>
        </w:rPr>
        <w:t>E. 5.2</w:t>
      </w:r>
    </w:p>
    <w:p>
      <w:r>
        <w:t>Gemäss Angaben der Beschwerdeführerin ist davon auszugehen, dass ihr Ehemann den LTTE bereits im Jahr 2001 entflohen ist und schon im Oktober 2002 aus dem Rehabilitation Centre entlassen wurde (A18/12, S. 5). Seither sind mehr als zehn Jahre vergangen, in denen der Ehemann selbst, gemäss Aktenlage, keinen ernsthaften Nachteilen im Sinne von Art. 3 AsylG ausgesetzt war. Zwar wurde er nach Angaben der Beschwerdeführerin in dieser Zeit zwei Mal festgenommen, nämlich im September 2008 und im Februar 2013 (A18/12, S. 5; A26/3). Allerdings dauerte die erste Festnahme, die selbst bereits über fünf Jahre zurückliegt, nur einen Tag und stand mit der Aufklärung des Mordes an einem Zivilisten in B._______ (A18/12, S. 5; A3/17, S. 11, Rz. 6.4.1) - und mithin kaum mit der Vergangenheit des Ehemannes als LTTE-Mitglied und seinem Aufenthalt im Rehabilitation Centre - im Zusammenhang. Auch der Freiheitsentzug im Rahmen der zweiten Festnahme erstreckte sich lediglich auf einige Stunden (von 8.00 Uhr bis 14.00 Uhr). Den Akten sind zudem keine Anhaltspunkte dafür zu entnehmen, dass diese zweite Festnahme des Ehemannes aufgrund seiner Vergangenheit erfolgte (A26/3). Zudem hatte der Ehemann, abgesehen von der genannten Festnahme im September 2008, von 2008 bis 2010 und somit unter anderem in einer der heissesten Phasen des sri-lankischen Bürgerkrieges (vgl. z.B. Neue Zürcher Zeitung [NZZ], Uno fordert Untersuchung von Kriegsverbrechen in Sri Lanka, 26. April 2011; NZZ, Die Killing Fields von Sri Lanka, 21. März 2013), keine Probleme mit den LTTE oder den sri-lankischen Behörden und konnte ohne Bedenken (...) in Batticaloa arbeiten (A18/12, S. 6 f.). Da somit bereits dem Ehemann der Beschwerdeführerin eine objektiv begründete Furcht vor Verfolgung im Sinne von Art. 3 AsylG abzusprechen ist, erscheint es wenig wahrscheinlich, dass die Beschwerdeführerin aufgrund der Vergangenheit ihres Ehemannes einer Gefährdung im Sinne von Art. 3 AsylG ausgesetzt ist beziehungsweise begründete Furcht hat, einer solchen Gefährdung ausgesetzt zu werden. Auch die von der Beschwerdeführerin vage geschilderten Hausbesuche und Bedrohungen von unbekannten Männern, welche nach der Ausreise des Ehemannes nach Saudi Arabien im Jahr 2010 ihren Anfang nahmen und bis heute andauerten, weisen nicht die Intensität einer asylrelevanten Verfolgung auf (A18/12, S. 5 und 9). So sind den Schilderungen der Beschwerdeführerin keine Anhaltspunkte dafür zu entnehmen, dass sie an Leib oder Leben oder mit dem Entzug der Freiheit bedroht wurde. Auch dürften sie die Behelligungen nicht in die vom Asylgesetz geforderte Zwangslage versetzt haben, welche ihr ein menschenwürdiges Leben in Sri Lanka verunmöglicht oder in unzumutbarem Ausmass erschwert hätte (vgl. BVGE 2010/28 E. 3.3.1.1). Folglich erscheint die Furcht der Beschwerdeführerin, künftig asylrelevanten Nachteilen ausgesetzt zu sein, aus objektiver Sicht auch aufgrund ihrer eigenen Erlebnisse nicht berechtigt. Gegen ein erhebliches persönliches Furchtempfinden spricht zudem, dass die Beschwerdeführerin zumindest vorübergehend an eine andere Adresse, zum Beispiel zu ihrem Ehemann nach F._______, gezogen wäre, wenn sie die dringende Befürchtung gehabt hätte, bei weiteren Hausbesuchen an Leib und Leben bedroht zu werden. Dies war jedoch während des gesamten Verfahrens nicht der Fall, gab die Beschwerdeführerin in ihren zwischen dem 3. Oktober 2011 und dem 23. April 2014 an die Botschaft geschickten Briefen als Korrespondenzadresse doch stets ihre Anschrift in B._______ an (A20-A21; A23-A32; A35/3). Eine von den sri-lankischen Behörden für die Beschwerdeführerin ausgehende Gefahr einer Reflexverfolgung ist schliesslich auch deshalb als gering einzustufen, weil die Behörden aufgrund der vorübergehenden Festnahme des Ehemannes im Februar 2013 wohl über dessen Aufenthalt in F._______ orientiert sind, weshalb keine Veranlassung mehr bestehen würde, den Ehemann bei der Beschwerdeführerin in B._______ zu suchen. Zusammenfassend ist festzustellen, dass es aufgrund der Vorbringen der Beschwerdeführerin wenig wahrscheinlich ist, dass diese aufgrund der Vergangenheit ihres Ehemannes ernsthaften Nachteilen im Sinne von Art. 3 AsylG ausgesetzt ist oder begründete Furcht hat, solchen Nachteilen ausgesetzt zu werden. Folglich ist der Vorinstanz beizupflichten, dass die Beschwerdeführerin keine Gefährdung nach Art. 3 AsylG zu gewärtigen hat. Die Einreisebewilligung wurde demnach zu Recht verweigert und das Asylgesuch abgelehnt.</w:t>
      </w:r>
    </w:p>
    <w:p>
      <w:r>
        <w:rPr>
          <w:b/>
        </w:rPr>
        <w:t>E. 6</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7</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