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E-2704/2012 vom 24. Mai 2012</w:t>
      </w:r>
    </w:p>
    <w:p>
      <w:r>
        <w:t>Bundesverwaltungsgericht, 2012-05-24, FR</w:t>
      </w:r>
    </w:p>
    <w:p>
      <w:r>
        <w:rPr>
          <w:b/>
        </w:rPr>
        <w:t xml:space="preserve">Quelle: </w:t>
      </w:r>
      <w:r>
        <w:t>https://mcp.opencaselaw.ch/entscheid/bvger_E-2704_2012</w:t>
      </w:r>
    </w:p>
    <w:p>
      <w:r>
        <w:t>FR: TAF E-2704/2012 du 24 mai 2012</w:t>
      </w:r>
    </w:p>
    <w:p>
      <w:r>
        <w:t>IT: TAF E-2704/2012 del 24 maggio 2012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attaquée annulée.</w:t>
      </w:r>
    </w:p>
    <w:p>
      <w:r>
        <w:rPr>
          <w:b/>
        </w:rPr>
        <w:t>E. 2</w:t>
      </w:r>
    </w:p>
    <w:p>
      <w:r>
        <w:t>Le dossier de la cause est renvoyé à l'ODM pour nouvelle décision,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