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E-269/2024 vom 12. Dezember 2023</w:t>
      </w:r>
    </w:p>
    <w:p>
      <w:r>
        <w:t>Bundesverwaltungsgericht, 2023-12-12, FR</w:t>
      </w:r>
    </w:p>
    <w:p>
      <w:r>
        <w:rPr>
          <w:b/>
        </w:rPr>
        <w:t xml:space="preserve">Quelle: </w:t>
      </w:r>
      <w:r>
        <w:t>https://mcp.opencaselaw.ch/entscheid/bvger_E-269_2024_d20231212</w:t>
      </w:r>
    </w:p>
    <w:p>
      <w:r>
        <w:t>FR: TAF E-269/2024 du 12 décembre 2023</w:t>
      </w:r>
    </w:p>
    <w:p>
      <w:r>
        <w:t>IT: TAF E-269/2024 del 12 dicembre 2023</w:t>
      </w:r>
    </w:p>
    <w:p>
      <w:pPr>
        <w:pStyle w:val="Heading2"/>
      </w:pPr>
      <w:r>
        <w:t>Regeste</w:t>
      </w:r>
    </w:p>
    <w:p>
      <w:r>
        <w:t>Asile et renvoi | Asile et renvoi; décision du SEM du 12 décembre 2023</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E-269/2024 Page 6</w:t>
      </w:r>
    </w:p>
    <w:p>
      <w:r>
        <w:rPr>
          <w:b/>
        </w:rPr>
        <w:t>E. 3.1</w:t>
      </w:r>
    </w:p>
    <w:p>
      <w:r>
        <w:t>Le recourant reproche d’abord au SEM un établissement inexact ou incomplet des faits pertinents (cf. pt 7 de l’acte de recours), mais ne précise cependant pas en quoi ceux-ci n’auraient pas été adéquatement constatés, de sorte que ce grief purement appellatoire n’est pas recevable ; à cela s’ajoute qu’il ressort de ses autres arguments qu’il conteste en réalité l’appréciation menée par le SEM, ce qui ressortit au fond. Partant, ce premier grief est écarté.</w:t>
      </w:r>
    </w:p>
    <w:p>
      <w:r>
        <w:rPr>
          <w:b/>
        </w:rPr>
        <w:t>E. 3.2</w:t>
      </w:r>
    </w:p>
    <w:p>
      <w:r>
        <w:t>Cela étant, l’intéressé n’a pas non plus été en mesure de faire apparaître la crédibilité et le sérieux de ses motifs. En effet, quand bien même il aurait été interpellé en 2019 en même temps que son père et son frère, il aurait été rapidement libéré ; rien ne permet d’admettre que cette courte arrestation soit en lien avec sa participation, très antérieure, aux manifestations de 2015. Par ailleurs, les raisons de l’interpellation de son père demeurent inconnues : il est improbable qu’elle se trouve en lien avec une purge des opposants au sein de l’armée, ainsi que le recourant l’allègue (cf. acte de recours pt 8), dans la mesure où son père n’avait pas d’engagement politique connu ; qui plus est, comme il l’indique lui-même, ces mesures sont intervenues de 2015 à 2017, soit bien avant les événements décrits. En tout état de cause, le départ de l’intéressé, survenu trois ans après cet épisode, apparaît sans lien avec ce dernier. Il n’est pas plus crédible que les problèmes rencontrés par le recourant et son frère découlent de leur contact, à la fin 2021, avec G._______, rallié au gouvernement ; en effet, ce dernier, qui aurait connu de longue date la participation de l’intéressé aux manifestations de 2015 (cf. procès-verbal [p-v] de l’audition du 24 août 2023, question 58), ne leur aurait rendu qu’une seule visite six ans plus tard et n’aurait pas insisté outre mesure pour qu’ils rejoignent le CNDD-FDD (cf. idem, questions 70 à 74), alors même qu’ils auraient été voisins comme le rappelle du reste l’intéressé dans son recours. Pour autant qu’elle soit avérée, l’interpellation du frère du recourant n’aurait eu lieu que plusieurs mois après cette rencontre ; durant cet intervalle, aucun des deux n’aurait rencontré de difficultés.</w:t>
      </w:r>
    </w:p>
    <w:p>
      <w:r>
        <w:rPr>
          <w:b/>
        </w:rPr>
        <w:t>E. 3.3</w:t>
      </w:r>
    </w:p>
    <w:p>
      <w:r>
        <w:t>Il n’est en outre pas vraisemblable que l’intéressé soit aujourd’hui recherché. En effet, après l’émission du mandat d’arrêt, il aurait vécu encore cinq mois à I._______ et à Bujumbura, certes caché chez des</w:t>
      </w:r>
    </w:p>
    <w:p>
      <w:r>
        <w:t>E-269/2024 Page 7 parents proches, mais que la police n’aurait pas eu de peine à localiser ; il ressort par ailleurs de son récit que les visites de celle-ci chez sa mère n’auraient été que peu nombreuses, qu’elles aient eu lieu avant ou après son départ. Le recourant explique que l’organisation de son voyage a nécessité un long délai (de cinq mois et non de trois, ainsi qu’il l’indique ; cf. acte de recours pt 13), la frontière rwandaise étant fermée ; rien ne l’empêchait cependant de gagner un des autres Etats limitrophes du Burundi, tous situés à courte distance de I._______ ou de Bujumbura. En outre, ainsi que l’a constaté le SEM, le « mandat d’arrêt » produit en copie comporte des défauts qui en remettant en cause l’authenticité ; l’intéressé n’a fourni aucun éclaircissement sur ce point et n’a pas non plus expliqué pourquoi il aurait été poursuivi pour une atteinte à la sûreté de l’Etat, alors qu’il n’aurait entretenu aucune activité politique depuis plusieurs années. Il en va de même de l’« avis de recherche » joint uniquement en copie au recours : l’infraction imputée au recourant est « ASI », sans que le sens de ce sigle soit spécifié, et la disposition légale applicable n’est pas indiquée ; de plus, la formulation de ce document, à la syntaxe approximative (« il est demandé à toute personne éprise de justice et surtout les forces de l’ordre de prêter main forte [… ] et aviser le Commissariat central ») ne correspond pas à celle d’un acte officiel. Enfin, il n’est pas logique que prétendument recherché, le recourant ait pu quitter le Burundi en faisant usage de son passeport personnel, quand bien même il aurait été accompagné du général J._______ ; ce passeport n’a d’ailleurs pas été produit.</w:t>
      </w:r>
    </w:p>
    <w:p>
      <w:r>
        <w:rPr>
          <w:b/>
        </w:rPr>
        <w:t>E. 3.4</w:t>
      </w:r>
    </w:p>
    <w:p>
      <w:r>
        <w:t>L’intéressé soutient également que les requérants d’asile revenus au Burundi risqueraient des poursuites, en se référant à des déclarations du ministre de l’Intérieur faites en octobre 2022 (cf. acte de recours pt 14) ; ces craintes apparaissent cependant infondées, le Premier ministre ayant alors précisé que ceux qui avaient quitté légalement le pays n’avaient rien à craindre (cf. arrêt du Tribunal D-5537/2023 du 27 octobre 2023 consid. 6.4) ; depuis 2022, le gouvernement tente au contraire de favoriser le retour des Burundais partis à l’étranger (cf. arrêt du Tribunal E-3021/2023 du 29 novembre 2023 consid. 4.3.2 et réf. cit.). Enfin, selon la jurisprudence du Tribunal, il n’existe pas au Burundi de persécution collective contre les Tutsis en raison de leur ethnie (cf. arrêt du Tribunal E-3021/2023 précité consid. 4.1.1 et réf. cit.).</w:t>
      </w:r>
    </w:p>
    <w:p>
      <w:r>
        <w:t>E-269/2024 Page 8</w:t>
      </w:r>
    </w:p>
    <w:p>
      <w:r>
        <w:rPr>
          <w:b/>
        </w:rPr>
        <w:t>E. 3.5</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t>E-269/2024 Page 9</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E-269/2024 Page 10</w:t>
      </w:r>
    </w:p>
    <w:p>
      <w:r>
        <w:rPr>
          <w:b/>
        </w:rPr>
        <w:t>E. 6.4</w:t>
      </w:r>
    </w:p>
    <w:p>
      <w:r>
        <w:t>En l’espèce, pour les motifs exposés, l’intéressé n’a pas établi la haute probabilité d’un risque de cette nature, En outre, la jurisprudence du Tribunal a déjà retenu que ni les autorités burundaises ni la milice des Imbonerakure ne s’en prenaient aux personnes revenant de l’étranger, à moins qu’elles aient entretenu un engagement politique marqué et assez important pour les avoir mis en lumière, ce qui n’est pas le cas de l’intéressé (cf. arrêts du Tribunal E-5813/2023 du 26 janvier 2024 consid. 10.2 ; E-10/2024 du 17 janvier 2024 consid. 10.2.3 et réf. cit. ; D-5537/2023 précité consid. 8.3 et réf. cit.). Par ailleurs, quand bien même la situation des droits de l’homme apparaît aujourd’hui tendue au Burundi, elle n’est pas à ce point sérieuse que l’exécution du renvoi apparaisse illicite (cf. arrêt du Tribunal D-5617/2023 du 15 novembre 2023 consid. 7.2.3).</w:t>
      </w:r>
    </w:p>
    <w:p>
      <w:r>
        <w:rPr>
          <w:b/>
        </w:rPr>
        <w:t>E. 6.5</w:t>
      </w:r>
    </w:p>
    <w:p>
      <w:r>
        <w:t>Dès lors, l'exécution du renvoi du recourant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 et jurisp. cit.).</w:t>
      </w:r>
    </w:p>
    <w:p>
      <w:r>
        <w:rPr>
          <w:b/>
        </w:rPr>
        <w:t>E. 7.2</w:t>
      </w:r>
    </w:p>
    <w:p>
      <w:r>
        <w:t>Quand bien même la situation sécuritaire et économique est difficile dans certaines provinces (cf. arrêt du Tribunal E-3021/2023 précité consid. 9.2 et réf. cit., dont E-1766/2023 du 24 mai 2023 consid. 7.4.2), le Burundi ne connaît pas une situation de guerre, de guerre civile ou de violence généralisée qui permettrait d'emblée – et indépendamment des circonstances du cas d'espèce – de présumer, à propos de tous les</w:t>
      </w:r>
    </w:p>
    <w:p>
      <w:r>
        <w:t>E-269/2024 Page 11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En effet, il est jeune, au bénéfice d'une bonne formation et n’a allégué aucun problème de santé particulier. En outre sa mère et son frère aîné se trouvent toujours au Burundi ; il pourra également recourir à l’aide de son oncle et de sa tante, qui lui auraient déjà prêté assistance dans les mois précédant son départ.</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11</w:t>
      </w:r>
    </w:p>
    <w:p>
      <w:r>
        <w:t>Dans la mesure où les conclusions du recours étaient d'emblée vouées à l'échec, la requête d'assistance judiciaire totale doit être rejetée (art. 65 al. 1 PA).</w:t>
      </w:r>
    </w:p>
    <w:p>
      <w:r>
        <w:t>E-269/2024 Page 12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E-269/2024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