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E-269/2022 vom 10. Januar 2022</w:t>
      </w:r>
    </w:p>
    <w:p>
      <w:r>
        <w:t>Bundesverwaltungsgericht, 2022-01-10, DE</w:t>
      </w:r>
    </w:p>
    <w:p>
      <w:r>
        <w:rPr>
          <w:b/>
        </w:rPr>
        <w:t xml:space="preserve">Quelle: </w:t>
      </w:r>
      <w:r>
        <w:t>https://mcp.opencaselaw.ch/entscheid/bvger_E-269_2022_d20220110</w:t>
      </w:r>
    </w:p>
    <w:p>
      <w:r>
        <w:t>FR: TAF E-269/2022 du 10 janvier 2022</w:t>
      </w:r>
    </w:p>
    <w:p>
      <w:r>
        <w:t>IT: TAF E-269/2022 del 10 gennaio 2022</w:t>
      </w:r>
    </w:p>
    <w:p>
      <w:pPr>
        <w:pStyle w:val="Heading2"/>
      </w:pPr>
      <w:r>
        <w:t>Regeste</w:t>
      </w:r>
    </w:p>
    <w:p>
      <w:r>
        <w:t>Nichteintreten auf Asylgesuch und Wegweisung (Dublin-Verfahren) | Nichteintreten auf Asylgesuch und Wegweisung (Dublin-Verfahren); Verfügung des SEM vom 10. Januar 2022</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Die Beschwerdeführenden sind als Verfügungsadressaten zur Beschwerdeführung legitimiert (Art. 48 Abs. 1 VwVG). Auf die frist- und formgerecht eingereichte Beschwerde ist einzutreten (Art. 108 Abs. 3 AsylG [SR 142.31]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w:t>
      </w:r>
    </w:p>
    <w:p>
      <w:r>
        <w:rPr>
          <w:b/>
        </w:rPr>
        <w:t>E. 2.3</w:t>
      </w:r>
    </w:p>
    <w:p>
      <w:r>
        <w:t>Die vorliegende Beschwerde erweist sich als offensichtlich unbegrün- det, weshalb sie im Verfahren einzelrichterlicher Zuständigkeit mit Zustim- mung eines zweiten Richters beziehungsweise einer zweiten Richterin (Art. 111 Bst. e AsylG) ohne Durchführung eines Schriftenwechsels und mit</w:t>
      </w:r>
    </w:p>
    <w:p>
      <w:r>
        <w:t>E-269/2022 Seite 5 summarischer Begründung zu behandeln ist (Art. 111a Abs. 1 und 2 AsylG).</w:t>
      </w:r>
    </w:p>
    <w:p>
      <w:r>
        <w:rPr>
          <w:b/>
        </w:rPr>
        <w:t>E. 3.1</w:t>
      </w:r>
    </w:p>
    <w:p>
      <w:r>
        <w:t>Die Beschwerdeführenden erheben diverse formelle Rügen, welche vorab zu beurteilen sind, da sie allenfalls geeignet wären, eine Kassation der vorinstanzlichen Verfügung zu bewirken.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 in: Kommentar zum VwVG, 2. Aufl. 2019, Art. 49 N. 29).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3.3</w:t>
      </w:r>
    </w:p>
    <w:p>
      <w:r>
        <w:t>Die Beschwerdeführenden rügen, die Sache sei wegen unvollständiger Feststellung des rechtserheblichen Sachverhalts sowie Verletzung der Un- tersuchungspflicht an die Vorinstanz zurückzuweisen.</w:t>
      </w:r>
    </w:p>
    <w:p>
      <w:r>
        <w:rPr>
          <w:b/>
        </w:rPr>
        <w:t>E. 3.3.1</w:t>
      </w:r>
    </w:p>
    <w:p>
      <w:r>
        <w:t>Sie hätten in der Unterkunft mit dem medizinischen Personal man- gels Dolmetscher nicht kommunizieren können. Sie hätten bereits anläss- lich des Dublin-Gesprächs einen Antrag auf psychologische Abklärung der Familie – insbesondere hinsichtlich der Beschwerdeführerin 2 und des Be- schwerdeführers 3 – unter Beizug einer dolmetschenden Person gestellt. Betreffend die Beschwerdeführerin 2 sei im Verlaufsblatt für den 27. No- vember 2021 vermerkt, dass sie einen privaten Dolmetscher mitgenom- men habe, der jedoch nicht über gute Englischkenntnisse verfügt habe. Am</w:t>
      </w:r>
    </w:p>
    <w:p>
      <w:r>
        <w:t>E-269/2022 Seite 6 28. November 2021 habe die Kommunikation telefonisch über einen Freund von ihr auf Deutsch stattgefunden. Bei den weiteren Terminen sei keine übersetzende Person beigezogen worden, erst wieder bei der Kon- sultation vom 13. Januar 2022, anlässlich welcher ihr jedoch kein Rahmen geboten worden sei, über ihre psychischen Beschwerden zu sprechen. Be- treffend den Beschwerdeführer 3 würde sich auf dem Verlaufsblatt lediglich ein Verweis auf den gestellten Antrag befinden, eine weiterführende fach- ärztliche Abklärung sei jedoch nicht ersichtlich. Indem es die Vorinstanz versäumt habe, seinen Gesundheitszustand hinreichend abzuklären, könne nicht abschliessend ausgeschlossen werden, ob seine Wegweisung (recte. berstellung) gegen Art. 3 EMRK und Art. 3 des Übereinkommens vom 20. November 1989 über die Rechte des Kindes (KRK; SR 0.107) verstossen würde. Die Vorinstanz habe somit gar nicht abklären können, ob Slowenien in der Lage sei, die vorliegenden gesundheitlichen Probleme zu behandeln.</w:t>
      </w:r>
    </w:p>
    <w:p>
      <w:r>
        <w:rPr>
          <w:b/>
        </w:rPr>
        <w:t>E. 3.3.2</w:t>
      </w:r>
    </w:p>
    <w:p>
      <w:r>
        <w:t>Der Gesundheitszustand der Beschwerdeführerin 2 ist durch meh- rere Arztberichte dokumentiert. Es konnte festgestellt werden, dass sie an Migräne, Schlafstörungen, Verdacht auf Anpassungsstörungen, an einer vorbekannten Schilddrüsenerkrankung, Eisenmangel und Unregelmässig- keiten der Periode leidet. Obwohl nur bei einigen Terminen eine überset- zende Person anwesend war, gelang ihr die Mitteilung ihrer gesundheitli- chen Beschwerden. Das Abwarten weiterer medizinischer Abklärungen war nicht angezeigt. In der Verlaufsabklärung des Beschwerdeführers 3 ist vermerkt, dass er ständig (…) im Mund habe, aggressiv reagiere, nervös sei, an seinen Nägeln kaue, an Schlafstörungen leide und nicht esse, son- dern nur trinke. Aufgrund der bisherigen Arztberichte der Beschwerdefüh- rerin 2 und der vermerkten gesundheitlichen Beschwerden des Beschwer- deführers 3 ist in antizipierter Beweiswürdigung davon auszugehen, dass bei beiden keine schwerwiegenden gesundheitlichen Probleme vorliegen, welche ein Überstellungshindernis nach Slowenien darstellen könnten. An- gesichts der Rechtsprechung zur medizinischen Versorgung in Slowenien (vgl. E. 6.2) war die Vorinstanz auch nicht gehalten, diesbezüglich weitere Abklärungen zu tätigen. Die Vorinstanz hat den rechtserheblichen Sach- verhalt somit richtig und vollständig festgestellt und die Untersuchungs- pflicht nicht verletzt.</w:t>
      </w:r>
    </w:p>
    <w:p>
      <w:r>
        <w:rPr>
          <w:b/>
        </w:rPr>
        <w:t>E. 3.4</w:t>
      </w:r>
    </w:p>
    <w:p>
      <w:r>
        <w:t>Die Beschwerdeführenden rügen, die Vorinstanz habe die Begrün- dungspflicht verletzt, indem sie sich nicht mit der Möglichkeit eines Selbst- eintritts der Schweiz aus humanitären Gründen auseinandergesetzt habe.</w:t>
      </w:r>
    </w:p>
    <w:p>
      <w:r>
        <w:t>E-269/2022 Seite 7 Die Vorinstanz hat sich in der Begründung ausführlich zu den gesundheit- lichen Problemen und den völkerrechtlichen Verpflichtungen Sloweniens geäussert und die aktuelle Rechtsprechung des Bundesverwaltungsge- richts zur Wegweisung nach Slowenien im Rahmen des Dublin-Verfahrens zitiert. Es liegt somit keine Verletzung der Begründungspflicht vor.</w:t>
      </w:r>
    </w:p>
    <w:p>
      <w:r>
        <w:rPr>
          <w:b/>
        </w:rPr>
        <w:t>E. 3.5</w:t>
      </w:r>
    </w:p>
    <w:p>
      <w:r>
        <w:t>Die formellen Rügen erweisen sich angesichts dieser Sachlage als un- begründet, weshalb keine Veranlassung besteht, die angefochtene Verfü- gung aufzuheben und die Sache an die Vorinstanz zurückzuweisen. Das entsprechende Rechtsbegehren ist somit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slowenischen Behörden stimmten dem Übernahmeersuchen der Vor- instanz innert der in Art. 25 Abs. 1 Dublin-III-VO festgelegten Frist zu. Die Zuständigkeit Sloweniens ist somit grundsätzlich gegeben und wird in der Rechtsmitteleingabe auch nicht bestritten.</w:t>
      </w:r>
    </w:p>
    <w:p>
      <w:r>
        <w:rPr>
          <w:b/>
        </w:rPr>
        <w:t>E. 4.3</w:t>
      </w:r>
    </w:p>
    <w:p>
      <w:r>
        <w:t>Erweist es sich als unmöglich, einen Antragsteller an als zuständig be- stimmten Mitgliedstaat zu überstellen, da es wesentliche Gründe für die Annahme gibt, dass das Asylverfahren und die Aufnahmebedingungen für Antragsteller in diesem Mitgliedstaat systemische Schwachstellen aufwei- sen, die eine Gefahr einer unmenschlichen oder entwürdigenden Behand- lung im Sinne des Artikels 4 der EU–Grundrechtecharta mit sich bringen, so setzt der die Zuständigkeit prüfende Mitgliedstaat die Prüfung der in Ka-</w:t>
      </w:r>
    </w:p>
    <w:p>
      <w:r>
        <w:t>E-269/2022 Seite 8 pitel III vorgesehenen Kriterien fort, um festzustellen, ob ein anderer Mit- gliedstaat als zuständig bestimmt werden kann. Kann keine Überstellung gemäss diesem Absatz an einen aufgrund der Kriterien des Kapitels III be- stimmten Mitgliedstaat oder an den ersten Mitgliedstaat, in dem der Antrag gestellt wurde, vorgenommen werden, so wird der die Zuständigkeit prü- fende Mitgliedstaat der zuständige Mitgliedstaat (Art. 3 Abs. 2 Dublin-III- 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w:t>
      </w:r>
    </w:p>
    <w:p>
      <w:r>
        <w:t>Slowenien ist Signatarstaat der EMRK, des Übereinkommens vom 10. De- zember 1984 gegen Folter und andere grausame, unmenschliche oder er- 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 men Verfahren für die Zuerkennung und Aberkennung des internationalen Schutzes (sog. Verfahrensrichtlinie, ABl. L 180/96 vom 29. Juni 2013) so- wie 2013/33/EU vom 26. Juni 2013 zur Festlegung von Normen für die Auf- nahme von Personen, die internationalen Schutz beantragen (sog. Aufnah- merichtlinie, ABl. L 180/96 vom 29. Juni 2013) ergeben. Gemäss Recht- sprechung des Bundesverwaltungsgerichts liegen keine Gründe für die An- nahme vor, das Asylverfahren und die Aufnahmebedingungen für Antrag- stellende in Slowenien würden systemische Schwachstellen im Sinne von Art. 3 Abs. 2 Dublin-III-VO aufweisen (vgl. Urteile des BVGer D-5159/2021 vom 3. Dezember 2021 E. 7.3; F-3236/2021 vom 27. Oktober 2021 E. 5.2).</w:t>
      </w:r>
    </w:p>
    <w:p>
      <w:r>
        <w:t>E-269/2022 Seite 9</w:t>
      </w:r>
    </w:p>
    <w:p>
      <w:r>
        <w:rPr>
          <w:b/>
        </w:rPr>
        <w:t>E. 6.1</w:t>
      </w:r>
    </w:p>
    <w:p>
      <w:r>
        <w:t>Die Beschwerdeführenden bringen vor, in Slowenien existiere kein spe- zieller Mechanismus zur Identifizierung vulnerabler Personen. Zudem wür- den in Slowenien Lücken in der medizinischen Versorgung von asylsu- chenden Personen mit psychischen Problemen bestehen. Die Schwelle zu einer unmenschlichen respektive erniedrigenden Behandlung bei Kindern liege tiefer als bei Erwachsenen, weshalb eine antizipierte Beweiswürdi- gung im Hinblick auf das Kindeswohl (Art. 3 KRK) bereits bei geringen Zweifeln an der medizinischen Versorgung der Kinder im Wegweisungs- land auszubleiben habe.</w:t>
      </w:r>
    </w:p>
    <w:p>
      <w:r>
        <w:rPr>
          <w:b/>
        </w:rPr>
        <w:t>E. 6.2</w:t>
      </w:r>
    </w:p>
    <w:p>
      <w:r>
        <w:t>Gemäss den vorliegenden Arztberichten leidet die Beschwerdeführe- rin 2 an Migräne, Schlafstörungen, Verdacht auf Anpassungsstörungen, an einer vorbekannten Schilddrüsenerkrankung, Eisenmangel und Unregel- mässigkeiten der Periode. Sie wird medikamentös behandelt. Hinsichtlich des Beschwerdeführers 3 wird vorgebracht, er habe ständig (…) im Mund, reagiere aggressiv, sei nervös, kaue an seinen Nägeln, leide an Schlafstö- rungen und esse nicht, sondern trinke nur. Die Beschwerdeführerin 4 leidet an Ekzemen und Dermatitis, die Beschwerden seien durch die medikamen- töse Behandlung jedoch bereits am Abklingen. Der Beschwerdeführer 1 macht psychische Probleme geltend, reichte jedoch keine Arztzeugnisse ein. Die gesundheitlichen Probleme der Beschwerdeführenden sind damit nicht derart gravierend, dass eine Überstellung nach Slowenien eine tat- sächliche Gefahr (real risk) einer Verletzung von Art. 3 EMRK mit sich brin- gen würde. Sollten sie dennoch nach der Rückkehr nach Slowenien eine medizinische Behandlung benötigen, so ist darauf hinzuweisen, dass Slo- wenien über eine ausreichende medizinische Infrastruktur verfügt (vgl. Ur- teil des BVGer F-4845/2021 vom 10. November 2021 E. 6.4.3). Die Mit- gliedstaaten sind verpflichtet, den Antragstellenden die erforderliche medi- zinische Versorgung, die zumindest die Notversorgung und die unbedingt erforderliche Behandlung von Krankheiten und schweren psychischen Stö- rungen umfasst, zugänglich zu machen (Art. 19 Abs. 1 Aufnahmerichtlinie). Antragstellenden mit besonderen Bedürfnissen ist die erforderliche medi- zinische oder sonstige Hilfe, einschliesslich psychologischer Betreuung, zu gewähren (Art. 19 Abs. 2 Aufnahmerichtlinie). In Slowenien ist der Zugang Asylsuchender zu dringend benötigter medizinischer Behandlung gewähr- leistet und insbesondere haben vulnerable Personen Anspruch auf psy- chotherapeutische Betreuung (vgl. AIDA, Country Report: Slovenia [2020 update], &lt; https://asylumineurope.org/wp-content/uploads/2021/03/ AIDA- SI_2020update.pdf &gt;, abgerufen am 25. Januar 2022, S. 65). Es liegen</w:t>
      </w:r>
    </w:p>
    <w:p>
      <w:r>
        <w:t>E-269/2022 Seite 10 keine Hinweise vor, wonach Slowenien den Beschwerdeführenden eine adäquate medizinische Behandlung verweigern würde.</w:t>
      </w:r>
    </w:p>
    <w:p>
      <w:r>
        <w:rPr>
          <w:b/>
        </w:rPr>
        <w:t>E. 6.3</w:t>
      </w:r>
    </w:p>
    <w:p>
      <w:r>
        <w:t>Hinsichtlich des Kindeswohls der Kinder ist darauf hinzuweisen, dass Slowenien Signatarstaat des Übereinkommens vom 20. November 1989 über die Rechte des Kindes (KRK, SR 0.107) ist und keine Hinweise darauf bestehen, dass sich Slowenien nicht an seine völkerrechtlichen Pflichten halten würde.</w:t>
      </w:r>
    </w:p>
    <w:p>
      <w:r>
        <w:rPr>
          <w:b/>
        </w:rPr>
        <w:t>E. 6.4</w:t>
      </w:r>
    </w:p>
    <w:p>
      <w:r>
        <w:t>Zusammenfassend liegt kein Anlass für einen Selbsteintritt der Schweiz nach Art. 17 Abs. 1 Dublin-III-VO i.V.m. Art. 29a Abs. 3 AsylV 1 vor. Aus denselben Gründen ist auch das Eventualbegehren, die Sache an die Vorinstanz zurückzuweisen und diese anzuweisen, von den sloweni- schen Behörden individuelle Zusicherungen bezüglich des Zugangs zur medizinischen Grundversorgung einzuholen, abzuweisen. Der Erkran- kungslage der Beschwerdeführenden ist jedoch insofern Rechnung zu tra- gen, als dass die Vorinstanz und die zuständige kantonale Vollzugsbe- hörde anzuweisen sind, den Beschwerdeführenden vor ihrer Überstellung bei den zuständigen Behörden von Slowenien als sogenannten Medizinal- fall anzumelden, womit im Regelfall sichergestellt wird, dass eine notwen- dige Behandlung auch nach der Überstellung gewährleistet ist (vgl. dazu Art. 31 f. Dublin-III-VO).</w:t>
      </w:r>
    </w:p>
    <w:p>
      <w:r>
        <w:rPr>
          <w:b/>
        </w:rPr>
        <w:t>E. 7</w:t>
      </w:r>
    </w:p>
    <w:p>
      <w:r>
        <w:t>Nach dem Gesagten ist die Beschwerde abzuweisen. Mit dem vorliegen- den Urteil fällt der am 20. Januar 2022 angeordnete Vollzugsstopp dahin. Das Gesuch um Erteilung der aufschiebenden Wirkung ist gegenstandslos geworden.</w:t>
      </w:r>
    </w:p>
    <w:p>
      <w:r>
        <w:rPr>
          <w:b/>
        </w:rPr>
        <w:t>E. 8.1</w:t>
      </w:r>
    </w:p>
    <w:p>
      <w:r>
        <w:t>Die Begehren erweisen sich als aussichtslos, weshalb das Gesuch um Gewährung der unentgeltlichen Prozessführung ungeachtet einer allfälli- gen prozessualen Bedürftigkeit abzuweisen ist (Art. 65 Abs. 1 VwVG).</w:t>
      </w:r>
    </w:p>
    <w:p>
      <w:r>
        <w:rPr>
          <w:b/>
        </w:rPr>
        <w:t>E. 8.2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(Dispositiv nächste Seite)</w:t>
      </w:r>
    </w:p>
    <w:p>
      <w:r>
        <w:t>E-269/2022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