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E-2699/2020 vom 24. April 2020</w:t>
      </w:r>
    </w:p>
    <w:p>
      <w:r>
        <w:t>Bundesverwaltungsgericht, 2020-04-24, DE</w:t>
      </w:r>
    </w:p>
    <w:p>
      <w:r>
        <w:rPr>
          <w:b/>
        </w:rPr>
        <w:t xml:space="preserve">Quelle: </w:t>
      </w:r>
      <w:r>
        <w:t>https://mcp.opencaselaw.ch/entscheid/bvger_E-2699_2020_d20200424</w:t>
      </w:r>
    </w:p>
    <w:p>
      <w:r>
        <w:t>FR: TAF E-2699/2020 du 24 avril 2020</w:t>
      </w:r>
    </w:p>
    <w:p>
      <w:r>
        <w:t>IT: TAF E-2699/2020 del 24 aprile 2020</w:t>
      </w:r>
    </w:p>
    <w:p>
      <w:pPr>
        <w:pStyle w:val="Heading2"/>
      </w:pPr>
      <w:r>
        <w:t>Regeste</w:t>
      </w:r>
    </w:p>
    <w:p>
      <w:r>
        <w:t>Asyl und Wegweisung | Asyl und Wegweisung; Verfügung des SEM vom 24.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E-2699/2020 Seite 5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w:t>
      </w:r>
    </w:p>
    <w:p>
      <w:r>
        <w:rPr>
          <w:b/>
        </w:rPr>
        <w:t>E. 4.1</w:t>
      </w:r>
    </w:p>
    <w:p>
      <w:r>
        <w:t>Die Zusammensetzung des Spruchkörpers wurde dem Beschwerde- führer mit Zwischenverfügung vom 2. Juni 2020 bereits mitgeteilt. Die da- mals dem Beschwerdeführer mitgeteilte vorsitzende Richterin wurde auf- grund der per 1. Januar 2025 erfolgten Aufstockung von Richterstellen im vorliegenden Verfahren durch Richter Kaspar Gerber ersetzt. Der dem Be- schwerdeführer mitgeteilte Zweitrichter und die mitgeteilte Drittrichterin wurden wegen Abwesenheit stellvertretungsbedingt durch Richterin Contessina Theis und Richterin Constance Leisinger ersetzt. Die hinterleg- ten Kriterien des Automatismus bezüglich Auswahlprozedere dieses be- kanntgegebenen Spruchkörpers wurden durch zusätzliche Kriterien manu- ell ergänzt. Die manuelle Anpassung wurde aufgrund objektiver und im Voraus bestimmter Kriterien vorgenommen (vgl. Art. 31 Abs. 3 des Ge- schäftsreglements für das Bundesverwaltungsgericht vom 17. April 2008 [VGR, SR 173.320.1]). Als objektive Kriterien in diesem Sinne gelten Amts- sprache, Beschäftigungsgrad, Belastung durch die Mitarbeit in Gerichts- gremien, Vorbefassung, Kammerzuständigkeit, Austritt, Erweiterung des Spruchkörpers, Ausstand, enger Sachzusammenhang, Abwesenheit sowie Ausgleich der Belastungssituation. Für die Spruchkörperbildung ist das</w:t>
      </w:r>
    </w:p>
    <w:p>
      <w:r>
        <w:t>E-2699/2020 Seite 6 Abteilungs- beziehungsweise Kammerpräsidium verantwortlich (vgl. Art. 31 und 32 i.V.m. Art. 25 Abs. 5 Bst. b VGR). Der Antrag auf Einsicht in die Software oder in entsprechende Auszüge betreffend die Spruchkörperbil- dung ist abzuweisen, da es sich bei den entsprechenden Dokumenten nicht um Akten handelt, welche dem Akteneinsichtsrecht gemäss Art. 29 Abs. 2 BV und Art. 26 i.V.m. Art. 27 f. VwVG unterstehen (vgl. Grundsatz- urteil des Bundesverwaltungsgerichts [BVGer] D-3946/2020 vom 21. April 2022 E. 4.5 m.w.H.; vgl. auch Urteil des BVGer E-3313/2021 vom 11. De- zember 2024 E. 4.1 f.).</w:t>
      </w:r>
    </w:p>
    <w:p>
      <w:r>
        <w:rPr>
          <w:b/>
        </w:rPr>
        <w:t>E. 5.1</w:t>
      </w:r>
    </w:p>
    <w:p>
      <w:r>
        <w:t>In der Beschwerde werden formelle Rügen erhoben, welche vorab zu beurteilen sind, da sie allenfalls geeignet sein könnten, zur Rückweisung der Sache an die Vorinstanz zu führen. Namentlich werden eine Verletzung des Anspruchs auf rechtliches Gehör, der Pflicht zur vollständigen und rich- tigen Erhebung des rechtserheblichen Sachverhalts und der Begründungs- pflicht gerügt.</w:t>
      </w:r>
    </w:p>
    <w:p>
      <w:r>
        <w:rPr>
          <w:b/>
        </w:rPr>
        <w:t>E. 5.2</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t>E-2699/2020 Seite 7</w:t>
      </w:r>
    </w:p>
    <w:p>
      <w:r>
        <w:rPr>
          <w:b/>
        </w:rPr>
        <w:t>E. 5.3</w:t>
      </w:r>
    </w:p>
    <w:p>
      <w:r>
        <w:t>Der Beschwerdeführer sieht eine Verletzung des rechtlichen Gehörs darin, dass die Anhörung sowie die Entscheidfällung nicht durch die gleiche Person erfolgt sei. Dazu ist zunächst festzuhalten, dass es sich bei dem in der Beschwerde zitierten Rechtsgutachten vom 23. Februar 2014 bloss um eine Empfeh- lung von Professor Walter Kälin handelt, die Anhörung und die Abfassung des Asylentscheids möglichst in Personalunion durchzuführen, und nicht um eine justiziable Verfahrenspflicht (vgl. statt vieler BVGer E-1904/2019 vom 13. Mai 2019 E. 6.1.1 m.w.H.). Des Weiteren ist nicht ersichtlich, inwiefern dem Beschwerdeführer daraus ein Nachteil erwachsen sein sollte. Die Verfahrensleitung obliegt der Vor- instanz, wobei sich aus dem Anspruch auf rechtliches Gehör für diese keine Vorgaben in dem Sinne ergeben, die Verfügung müsse durch die be- fragende Person selber verfasst werden. Die protokollierten und vom Be- schwerdeführer unterschriftlich als korrekt genehmigten Aussagen bilden Grundlage für den Entscheid. Daher müssen befragende und verfügende Person nicht zwingend identisch sein. Diese Rüge ist daher unbegründet.</w:t>
      </w:r>
    </w:p>
    <w:p>
      <w:r>
        <w:rPr>
          <w:b/>
        </w:rPr>
        <w:t>E. 5.4</w:t>
      </w:r>
    </w:p>
    <w:p>
      <w:r>
        <w:t>Ferner rügt der Beschwerdeführer, die Vorinstanz habe den Sachver- halt unvollständig abgeklärt, indem sie insbesondere das Risikoprofil des Beschwerdeführers unter Einbezug möglicher hängiger Strafverfahren in der Türkei, der Suche nach ihm nach dessen Abreise nach Istanbul sowie der gesamten aktuellen Lage in der Türkei unzureichend gewürdigt habe. Ausserdem habe die Vorinstanz ausser Acht gelassen, dass der Beschwer- deführer nach seiner Ankunft in der Schweiz von einem von der PKK be- triebenen Lager für Ausbildungs- und Rekrutierungszwecke berichtet habe. Obschon die angefochtene Verfügung tatsächlich in ihrer Begründung eher knapp ausfällt, kann festgestellt werden, dass das SEM die Ausführungen des Beschwerdeführers vor dem Hintergrund sowohl seiner persönlichen Situation als auch der aktuellen Lage in der Türkei ausreichend gewürdigt hat. Die Vorgehensweise der Vorinstanz ist nicht zu beanstanden, zumal sie sich mit den wesentlichen Vorbringen des Beschwerdeführers hinrei- chend auseinandergesetzt hat und eine sachgerechte Anfechtung ohne Weiteres möglich war. Insbesondere muss sich die Vorinstanz nicht mit al- len Aussagen des Beschwerdeführers einzeln auseinandersetzen. Allein der Umstand, dass das SEM in seiner Länderpraxis zur Türkei einer ande- ren Linie folgt als vom Beschwerdeführer vertreten, und deshalb auch zu</w:t>
      </w:r>
    </w:p>
    <w:p>
      <w:r>
        <w:t>E-2699/2020 Seite 8 einer anderen Würdigung der Vorbringen gelangt, spricht nicht für eine un- genügende Sachverhaltsfeststellung.</w:t>
      </w:r>
    </w:p>
    <w:p>
      <w:r>
        <w:rPr>
          <w:b/>
        </w:rPr>
        <w:t>E. 5.5</w:t>
      </w:r>
    </w:p>
    <w:p>
      <w:r>
        <w:t>Die formellen Rügen erweisen sich angesichts dieser Sachlage als un- begründet, weshalb keine Veranlassung besteht, die Sache aus formellen Gründen aufzuheben und an die Vorinstanz zurückzuweisen. Die diesbe- züglichen Rechtsbegehren sind daher abzuweisen.</w:t>
      </w:r>
    </w:p>
    <w:p>
      <w:r>
        <w:rPr>
          <w:b/>
        </w:rPr>
        <w:t>E. 6.1</w:t>
      </w:r>
    </w:p>
    <w:p>
      <w:r>
        <w:t>Das SEM führte zur Begründung seines ablehnenden Entscheids ma- teriell aus, die Vorbringen des Beschwerdeführers seien flüchtlingsrechtlich nicht relevant. Sofern der Beschwerdeführer vorbringe, er habe sich meh- rere Male auf dem Posten der Gendarmerie melden müssen, sei festzu- stellen, dass es sich bei diesen Benachteiligungen lediglich um geringfü- gige Einschränkungen und Diskriminierungen handle und dem Beschwer- deführer keine ernsthaften Nachteile dadurch erwachsen seien. Es sei auch nicht davon auszugehen, dass dem Beschwerdeführer bei einer Rückkehr in die Türkei solche drohen würden, zumal er keiner politischen Partei angehöre, weder jemals angeklagt noch verurteilt worden sei sowie keinerlei Probleme mit der Polizei oder anderen heimatlichen Behörden geltend gemacht habe. Eine asylrelevante Verfolgung aufgrund seiner kur- dischen Ethnie sei ebenso auszuschliessen.</w:t>
      </w:r>
    </w:p>
    <w:p>
      <w:r>
        <w:rPr>
          <w:b/>
        </w:rPr>
        <w:t>E. 6.2</w:t>
      </w:r>
    </w:p>
    <w:p>
      <w:r>
        <w:t>Dem entgegnete der Beschwerdeführer in seiner Beschwerde in mate- rieller Hinsicht, er sei bereits im jugendlichen Alter in Kontakt mit PKK- Kämpfern gekommen, was den türkischen Sicherheitsbehörden gemeldet worden sei. Diese hätten ihn diesbezüglich befragt, ermahnt und einge- schüchtert. Auf Anraten seiner Familie sei er nach Istanbul gezogen, wo- raufhin sich die Sicherheitskräfte zweimal bei seiner Familie nach seinem Verbleib erkundigt hätten. In den Augen der heimatlichen Behörden handle es sich beim Beschwerdeführer mithin um einen potentiellen oder tatsäch- lichen Anhänger der PKK, der mit Sicherheit in den relevanten Datenban- ken vermerkt sei und bei einer Rückkehr in die Türkei verhört und gefoltert würde. Ferner habe sich der Beschwerdeführer nach seiner Ankunft in der Schweiz während acht Monaten in einem PKK-Rekrutierungs- und Ausbil- dungszentrum aufgehalten, was die heimatlichen Behörden zweifellos als Unterstützung des Terrorismus auslegen würden.</w:t>
      </w:r>
    </w:p>
    <w:p>
      <w:r>
        <w:rPr>
          <w:b/>
        </w:rPr>
        <w:t>E. 7.1</w:t>
      </w:r>
    </w:p>
    <w:p>
      <w:r>
        <w:t>Für das Bundesverwaltungsgericht ist grundsätzlich die Sachlage zum Zeitpunkt seines Entscheides massgebend (BVGE 2014/1 E. 2; 2012/21</w:t>
      </w:r>
    </w:p>
    <w:p>
      <w:r>
        <w:t>E-2699/2020 Seite 9 E. 5.1; 2011/43 E. 6.1; 2011/1 E. 2; vgl. auch ANDRÉ MOSER et al., Prozes- sieren vor dem Bundesverwaltungsgericht, 3. Aufl. 2022, Rz. 2.204 m.w.H.). Das Bundesverwaltungsgericht gelangt – wie sogleich zu zeigen ist – nach Prüfung der Akten zum Schluss, dass die Vorbringen des Be- schwerdeführers den Anforderungen an die Flüchtlingseigenschaft nicht standzuhalten vermögen. Zur Vermeidung von Wiederholungen kann auf die zutreffenden Ausführungen des SEM (s. angefochtene Verfügung S. 3 und E. 6.1 vorstehend) verwiesen werden, soweit sich nicht die folgenden Ergänzungen ergeben.</w:t>
      </w:r>
    </w:p>
    <w:p>
      <w:r>
        <w:rPr>
          <w:b/>
        </w:rPr>
        <w:t>E. 7.2</w:t>
      </w:r>
    </w:p>
    <w:p>
      <w:r>
        <w:t>Die vom Beschwerdeführer geschilderten Umstände, welche im Jahre 2014 zum Wegzug aus seinem Heimatdorf geführt haben, liegen rund drei Jahre vor seiner Ausreise aus der Türkei und sind mithin bereits in zeitlicher Hinsicht nicht als kausal für dessen Flucht zu erachten (act. A20/14 F 70 ff., F90 ff.). Mit der Vorinstanz ist festzustellen, dass die Behelligungen und Schikanen durch die Gendarmerie lediglich als geringfügig einzustufen sind und dem Beschwerdeführer dadurch keine ernsthaften Nachteile er- wachsen sind. Nach den Besuchen auf den Posten der Gendarmerie wurde er sodann auch ohne Weiteres und ohne konkrete Zusicherungen jeweils wieder entlassen (act. A20/14 F47 ff.), so dass nicht von einem an- haltenden Interesse der türkischen Behörden an seiner Person auszuge- hen ist. Weiter erscheint zentral, dass der Beschwerdeführer durch seine niederschwelligen Aktivitäten – vereinzelte Besuche im HDP-Gebäude und Wahlveranstaltungen – weder über ein politisches Profil noch über ein Netzwerk verfügt, das für die Sicherheitskräfte von Interesse sein könnte (act. A20/14 F45, F57, F62 ff.). Dass er während rund drei Jahren unbehel- ligt in Istanbul lebte und keinerlei behördlichen Kontakt mehr hatte (act. A20/14 F67), bestätigt den Eindruck, die Sicherheitsbehörden hätten kein ernsthaftes Interesse an ihm gehabt. Diesbezüglich ist auch festzu- halten, dass die von ihm geschilderten Polizeikontrollen und der Ausnah- mezustand ein Grossteil der Bevölkerung betraf und keine gegen seine Person gerichtete Gezieltheit ersichtlich ist (s. act. A20/14 F103 f.). Daran vermag auch das – im Übrigen weitestgehend unsubstantiiert gebliebene – Vorbringen, der Beschwerdeführer habe sich nach seiner Ankunft in der Schweiz von August 2017 bis April 2018 bei einer Freundin mit dem Code- namen D._______ aufgehalten, die sich offenbar für die PKK engagiere, etwas zu ändern, zumal er von ihr hauptsächlich Hilfe in Bezug auf seinen Aufenthalt in der Schweiz erwartet habe und kein eigenes politisches En- gagement geltend machte (act. A7/11 F5.03; act. A20/14 F74 ff., F106). Im Zusammenhang mit besagter Freundin und seinem Aufenthalt vor der Asyl- gesuchstellung hat der Beschwerdeführer demnach weder</w:t>
      </w:r>
    </w:p>
    <w:p>
      <w:r>
        <w:t>E-2699/2020 Seite 10 Nachfluchtgründe geltend gemacht oder angedeutet noch ausgeführt, des- wegen in Schwierigkeiten geraten zu sein oder Schwierigkeiten zu erwar- ten. Insbesondere bringt der – der Wahrheits- und Mitwirkungspflicht un- terstehende – Beschwerdeführer nicht vor, er sei in einem «PKK-Camp» in der Schweiz ausgebildet beziehungsweise «radikalisiert» worden. Weder aus den Akten noch aus der Beschwerde (vgl. Beschwerde S. 11) oder dem weiteren Verlauf des Beschwerdeverfahrens ergeben sich entsprechenden Hinweise. Die Vorinstanz hatte demnach keine Veranlassung für weitere diesbezügliche Abklärungen (vgl. auch vorstehend E. 5.4). Auch für das Bundesverwaltungsgerichts besteht zum jetzigen Zeitpunkt kein Erforder- nis, weitere Sachverhaltsabklärungen vorzunehmen. Schliesslich werde der Beschwerdeführer eigenen Angaben zufolge weder behördlich gesucht noch strafrechtlich verfolgt (act. A7/11 F7.01; act. A20/14 F94) und habe die Türkei lediglich verlassen, weil er die allgemeine Situation als Kurde nicht mehr ertragen habe (act. A20/14 F93).</w:t>
      </w:r>
    </w:p>
    <w:p>
      <w:r>
        <w:rPr>
          <w:b/>
        </w:rPr>
        <w:t>E. 7.3</w:t>
      </w:r>
    </w:p>
    <w:p>
      <w:r>
        <w:t>Es kann aufgrund der ethnischen Zugehörigkeit des Beschwerdefüh- rers zwar nicht ausgeschlossen werden, dass es tatsächlich zu Schikanen und Diskriminierungen gekommen ist. Die dargelegten Behelligungen durch die Gendarmerie und die Polizei genügen, wie bereits erwähnt, je- doch mangels Intensität nicht zur Begründung einer flüchtlingsrechtlich re- levanten Verfolgung oder einer begründeten Furcht vor einer solchen. Ebenfalls stellt das Bundesverwaltungsgericht praxisgemäss sehr hohe Anforderungen an die Bejahung einer Kollektivverfolgung (vgl. BVGE 2013/11 E. 5.4.1 m.w.H.), die im Falle der Kurden und Aleviten in der Türkei nicht als erfüllt zu erachten sind, dies auch unter Berücksichtigung der ak- tuellen politischen Entwicklungen in der Türkei (vgl. dazu statt vieler das Urteil des BVGer E-2639/2020 vom 8. November 2022 E. 7.12 m.w.H.).</w:t>
      </w:r>
    </w:p>
    <w:p>
      <w:r>
        <w:rPr>
          <w:b/>
        </w:rPr>
        <w:t>E. 7.4</w:t>
      </w:r>
    </w:p>
    <w:p>
      <w:r>
        <w:t>Die Beschwerde vermag dem insgesamt nichts entgegenzuhalten, was zu einer anderen Einschätzung führen könnte. Der Beschwerdeführer be- gnügt sich in der Beschwerde damit, den bereits bekannten Sachverhalt zu wiederholen und in pauschaler und weitläufiger Weise die politische Lage in der Türkei zu erörtern, ohne einen Bezug zu seiner eigenen Person auf- zuzeigen. Mangels neu eingereichter Beweismittel ist – entgegen der Be- hauptung auf Beschwerdeebene – weiterhin nicht davon auszugehen, dass gegen den Beschwerdeführer strafrechtliche Verfahren wegen des Verdachts auf PKK-Nähe eröffnet worden sind, geschweige denn eine Ver- urteilung ergangen ist.</w:t>
      </w:r>
    </w:p>
    <w:p>
      <w:r>
        <w:t>E-2699/2020 Seite 11</w:t>
      </w:r>
    </w:p>
    <w:p>
      <w:r>
        <w:rPr>
          <w:b/>
        </w:rPr>
        <w:t>E. 7.5</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E-2699/2020 Seite 12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bis heute nicht gelungen ist, eine asylrechtlich erhebli- che Gefährdung nachzuweisen oder glaubhaft zu machen, kann der in Art. 5 AsylG verankerte Grundsatz der Nichtrückschiebung im vorliegen- den Verfahren keine Anwendung finden. Eine Rückkehr des Beschwerdeführers in den Heimatstaat ist demnach unter dem Aspekt von Art. 5 AsylG rechtmässig.</w:t>
      </w:r>
    </w:p>
    <w:p>
      <w:r>
        <w:rPr>
          <w:b/>
        </w:rPr>
        <w:t>E. 9.2.5</w:t>
      </w:r>
    </w:p>
    <w:p>
      <w:r>
        <w:t>Sodann ergeben sich bis zum heutigen Zeitpunkt weder aus den Aus- sagen des Beschwerdeführers noch aus den Akten Anhaltspunkte dafür, dass er für den Fall einer Ausschaffung in den Heimatstaat dort mit beacht- licher Wahrscheinlichkeit einer nach Art. 3 EMRK oder Art. 1 FoK verbote- nen Strafe oder Behandlung ausgesetzt wäre. Gemäss Praxis des Euro- päischen Gerichtshofes für Menschenrechte (EGMR) sowie jener des UN- Anti-Folterausschusses müsste der Beschwerdeführer eine konkrete Ge- fahr («real risk») nachweisen oder glaubhaft machen, dass ihm im Fall ei- ner Rückschiebung Folter oder unmenschliche Behandlung drohen würde (vgl. Urteil des EGMR Saadi gegen Italien 28. Februar 2008, Grosse Kam- mer 37201/06, §§ 124–127 m.w.H.). Nach den vorstehenden Ausführun- 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w:t>
      </w:r>
    </w:p>
    <w:p>
      <w:r>
        <w:t>E-2699/2020 Seite 13 medizinischer Notlage konkret gefährdet sind. Wird eine konkrete Gefähr- dung festgestellt, ist – unter Vorbehalt von Art. 83 Abs. 7 AIG – die vorläu- 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E-6224/2019 vom 19. April 2023 E. 8.3.2 je m.w.H.). Der Beschwerdeführer stammt aus der Provinz C._______, welche im Übrigen vom Erdbeben im Frühjahr 2023 nicht betroffen gewesen ist. Die Rückkehr des Beschwerdeführers in seinen Heimatstaat ist demnach auch aus heutiger Sicht als generell zu- mutbar zu erachten.</w:t>
      </w:r>
    </w:p>
    <w:p>
      <w:r>
        <w:rPr>
          <w:b/>
        </w:rPr>
        <w:t>E. 9.3.3</w:t>
      </w:r>
    </w:p>
    <w:p>
      <w:r>
        <w:t>Auch in individueller Hinsicht sind keine Gründe ersichtlich, die gegen die Zumutbarkeit der Wegweisung sprechen. Wie vom SEM zutreffend ausgeführt, ist der Beschwerdeführer jung und kann in seiner Heimat auf ein breites familiäres und soziales Beziehungsnetz zurückgreifen (s. act. A20/14 F9 ff. und F39 ff.). Zudem verfügt er über eine Schulbildung und war er stets in der Lage, selbständig für seinen Lebensunterhalt zu sorgen und einer Erwerbstätigkeit nachzugehen (act. A7/11 F1.17.04 f.; A20/14 F17, F19, F23 ff.). Gesundheitliche Probleme sind den vorinstanz- lichen Akten ferner nicht zu entnehmen beziehungsweise wurden solche auch auf Beschwerdeebene nicht geltend gemacht (act. A7/11 F8.02). Ins- gesamt ist nicht davon auszugehen, dass der Beschwerdeführer bei einer Rückkehr in sein Heimatland dort aus wirtschaftlichen, sozialen oder ge- sundheitlichen Gründen in eine existenzbedrohende Situation geraten würde. Andere individuelle Gründe, die gegen einen Wegweisungsvollzug sprechen, sind ebenso wenig ersichtlich.</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w:t>
      </w:r>
    </w:p>
    <w:p>
      <w:r>
        <w:t>E-2699/2020 Seite 14 2008/34 E. 12), weshalb der Vollzug der Wegweisung als möglich zu be- 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 festzusetzen (Art. 1–3 des Reglements vom 21. Februar 2008 über die Kosten und Entschädigungen vor dem Bundesverwaltungsgericht [VGKE, SR 173.320.2]).</w:t>
      </w:r>
    </w:p>
    <w:p>
      <w:r>
        <w:t>(Dispositiv nächste Seite)</w:t>
      </w:r>
    </w:p>
    <w:p>
      <w:r>
        <w:t>E-2699/2020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