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E-2697/2022 vom 14. April 2022</w:t>
      </w:r>
    </w:p>
    <w:p>
      <w:r>
        <w:t>Bundesverwaltungsgericht, 2022-04-14, FR</w:t>
      </w:r>
    </w:p>
    <w:p>
      <w:r>
        <w:rPr>
          <w:b/>
        </w:rPr>
        <w:t xml:space="preserve">Quelle: </w:t>
      </w:r>
      <w:r>
        <w:t>https://mcp.opencaselaw.ch/entscheid/bvger_E-2697_2022_d20220414</w:t>
      </w:r>
    </w:p>
    <w:p>
      <w:r>
        <w:t>FR: TAF E-2697/2022 du 14 avril 2022</w:t>
      </w:r>
    </w:p>
    <w:p>
      <w:r>
        <w:t>IT: TAF E-2697/2022 del 14 aprile 2022</w:t>
      </w:r>
    </w:p>
    <w:p>
      <w:pPr>
        <w:pStyle w:val="Heading2"/>
      </w:pPr>
      <w:r>
        <w:t>Regeste</w:t>
      </w:r>
    </w:p>
    <w:p>
      <w:r>
        <w:t>Asile et renvoi | Asile et renvoi; révision de l'arrêt du Tribunal administratif fédéral du 14 avril 2022 (E-5397/2020)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frais de procédure, d'un montant de 1'500 francs, sont mis à la charge du requérant ; ils sont entièrement compensés par l'avance de frais de même montant versée en date du 12 juillet 2022.</w:t>
      </w:r>
    </w:p>
    <w:p>
      <w:r>
        <w:rPr>
          <w:b/>
        </w:rPr>
        <w:t>E. 3</w:t>
      </w:r>
    </w:p>
    <w:p>
      <w:r>
        <w:t>Le présent arrêt est adressé au requérant, au SEM et à l'autorité cantonale. Le président du collège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