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E-2694/2024 vom 25. Juni 2024</w:t>
      </w:r>
    </w:p>
    <w:p>
      <w:r>
        <w:t>Bundesverwaltungsgericht, 2024-06-25, DE</w:t>
      </w:r>
    </w:p>
    <w:p>
      <w:r>
        <w:rPr>
          <w:b/>
        </w:rPr>
        <w:t xml:space="preserve">Quelle: </w:t>
      </w:r>
      <w:r>
        <w:t>https://mcp.opencaselaw.ch/entscheid/bvger_E-2694_2024</w:t>
      </w:r>
    </w:p>
    <w:p>
      <w:r>
        <w:t>FR: TAF E-2694/2024 du 25 juin 2024</w:t>
      </w:r>
    </w:p>
    <w:p>
      <w:r>
        <w:t>IT: TAF E-2694/2024 del 25 giugno 2024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t>E-2694/2024 Seite 4</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4.2</w:t>
      </w:r>
    </w:p>
    <w:p>
      <w:r>
        <w:t>Die Flüchtlingseigenschaft muss nachweisen oder zumindest glaubhaft machen, wer um Asyl nachsucht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 geblich auf gefälschte oder verfälschte Beweismittel abgestützt werden (Art. 7 AsylG). Das Bundesverwaltungsgericht hat die Anforderungen an das Glaubhaftmachen der Vorbringen in einem publizierten Entscheid dar- gelegt und folgt dabei ständiger Praxis. Darauf kann hier verwiesen werden (vgl. BVGE 2010/57 E. 2.2 und 2.3).</w:t>
      </w:r>
    </w:p>
    <w:p>
      <w:r>
        <w:rPr>
          <w:b/>
        </w:rPr>
        <w:t>E. 5.1</w:t>
      </w:r>
    </w:p>
    <w:p>
      <w:r>
        <w:t>Nach Prüfung der Akten durch das Gericht ist in Übereinstimmung mit der Vorinstanz festzustellen, dass die Asylvorbringen des Beschwerdefüh- rers weder den Anforderungen an die Flüchtlingseigenschaft gemäss Art. 3 AsylG noch an das Glaubhaftmachen gemäss Art. 7 AsylG standzuhalten vermögen, weshalb auf die zutreffenden Erwägungen der Vorinstanz zu verweisen ist (vgl. angefochtene Verfügung S. 5 ff.). Die vorinstanzliche Schlussfolgerung ist weder in tatsächlicher noch in rechtlicher Hinsicht zu beanstanden. Die Beschwerdevorbringen sind nicht geeignet, zu einer von der Vorinstanz abweichenden Betrachtungsweise zu gelangen (vgl. Be- schwerde S. 2 f.). Den vorinstanzlichen Akten ist zu entnehmen, dass der Beschwerdeführer durchaus grundsätzlich in der Lage war, den Befragun- gen zu folgen und sowohl die Fragen als auch die Rückübersetzung ver- standen hat, was er jeweils mündlich sowie schriftlich bestätigte (vgl. SEM- eAkten 11/12 F1–5 und S. 12, 20/4 F1 und S. 14). Dass der Beschwerde- führer in der summarischen Befragung betreffend den Aufenthalt in Italien und den Ausgang des dortigen Asylrekurses abschweifende und unpräzise</w:t>
      </w:r>
    </w:p>
    <w:p>
      <w:r>
        <w:t>E-2694/2024 Seite 5 Antworten gab (vgl. SEM-eAkten 11/12 F25–30), vermag an dieser Ein- schätzung nichts zu ändern. Die Vorinstanz kommt zutreffend zum Schluss, dass die Schilderungen zu den Rückreisen nach Nigeria keine Konsistenz aufweisen, fallen diese doch selbst über eine kurze Zeitspanne der Anhörung widersprüchlich aus (vgl. bspw. SEM-eAkten 20/14 F10 ff. und F22 ff.). Sodann kann der Be- schwerdeführer die beiden angeblichen Bedrohungssituationen weder nachvollziehbar noch substanzvoll schildern. Vielmehr fallen seine Aussa- gen zum Kerngeschehen stereotyp, mithin nicht erlebnisbasiert aus (vgl. a.a.O. F35 ff.). Zudem sind die geltend gemachten Bedrohungen mit den zeitlichen Angaben zu den Rückreisen sowie der Beerdigung unvereinbar (vgl. bspw. a.a.O. F10 ff., F22 ff. und F44 ff.). Überdies widerspricht er sich sowohl zur angeblichen Anzeige eines Angriffs auf seinen Chauffeur (vgl. SEM-eAkten 11/12 F83 vs. SEM-eAkten 20/14 F41 ff.) als auch zu seiner Stellung innerhalb des Kultes, mit der schliesslich auch die im vorinstanz- lichen Verfahren ins Recht gelegten Beweismittel nicht vereinbar sind (vgl. a.a.O. F7, F32, F40, F42 und F58). Vor dem Hintergrund der Anzahl be- deutender Widersprüche – insbesondere zum Kerngeschehen der Flucht- vorbringen – ist es unglaubhaft, dass der Beschwerdeführer die geschil- derten Bedrohungen im Zusammenhang mit dem (…)-Kult tatsächlich er- lebt hat (vgl. Entscheidungen und Mitteilungen der Schweizerischen Asyl- rekurskommission [EMARK] 1993/3 E. 3 S. 13), weshalb auf die Frage von deren Asylrelevanz nicht weiter einzugehen ist. Im Übrigen hat die Vorinstanz zutreffend festgestellt, dass weder den dar- gelegten Erbschaftsstreitigkeiten noch den finanziellen Befürchtungen des Beschwerdeführers Asylrelevanz im Sinne von Art. 3 AsylG zukommt und der Beschwerdeführer sich bei allfälligen zukünftigen Problemen mit dem (…)-Kult an die nigerianischen Behörden wenden kann.</w:t>
      </w:r>
    </w:p>
    <w:p>
      <w:r>
        <w:rPr>
          <w:b/>
        </w:rPr>
        <w:t>E. 5.2</w:t>
      </w:r>
    </w:p>
    <w:p>
      <w:r>
        <w:t>Zusammenfassend ist festzustellen, dass es dem Beschwerdeführer nicht gelungen ist, einen flüchtlingsrechtlich bedeutsamen Sachverhalt dar- zulegen. Die Feststellung der Vorinstanz, dieser würde die Flüchtlingsei- genschaft nicht erfüllen, ist dementsprechend zu bestätigen.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w:t>
      </w:r>
    </w:p>
    <w:p>
      <w:r>
        <w:t>E-2694/2024 Seite 6 Aufenthaltsbewilligung noch über einen Anspruch auf Erteilung einer sol- chen (vgl. BVGE 2009/50 E. 9). Die Wegweisung wurde zu Recht ange- ordnet.</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nach Nigeria dort mit beachtlicher Wahrscheinlichkeit einer nach Art. 3 EMRK oder Art. 1 FoK verbotenen Strafe oder Behandlung ausge- setzt wäre. Auch die allgemeine Menschenrechtssituation in Nigeria lässt den Wegweisungsvollzug zum heutigen Zeitpunkt nicht als unzulässig er- scheinen. Nach dem Gesagten ist der Vollzug der Wegweisung sowohl im Sinne der asyl- als auch der völkerrechtlichen Bestimmungen zulässig.</w:t>
      </w:r>
    </w:p>
    <w:p>
      <w:r>
        <w:rPr>
          <w:b/>
        </w:rPr>
        <w:t>E. 7.3</w:t>
      </w:r>
    </w:p>
    <w:p>
      <w:r>
        <w:t>Der Vollzug der Wegweisung kann nach Art. 83 Abs. 4 AIG unzumutbar sein, wenn der Ausländer oder die Ausländerin im Heimat- oder Herkunfts- staat auf Grund von Situationen wie Krieg, Bürgerkrieg, allgemeiner Gewalt und medizinischer Notlage konkret gefährdet ist.</w:t>
      </w:r>
    </w:p>
    <w:p>
      <w:r>
        <w:t>E-2694/2024 Seite 7 In Bezug auf Nigeria geht das Bundesverwaltungsgericht davon aus, dass keine Situation allgemeiner Gewalt herrscht (vgl. Urteile des BVGer E-2052/2024 vom 15. April 2024 E. 8.4.2, D-5080/2020 vom 31. August 2023 E. 8.4.2, E-4801/2020 vom 8. Juni 2021 E. 7.4 m.w.H.). Weder die Ausführungen des Beschwerdeführers noch die zwei zitierten Internet- fundstellen vermögen an dieser Rechtsprechung etwas zu ändern (vgl. Be- schwerde S. 2). Sodann ist zusammen mit der Vorinstanz festzustellen, dass auch keine individuellen Gründe gegen die Zumutbarkeit des Wegweisungsvollzugs sprechen. Dem wird auf Beschwerdeebene nichts Stichhaltiges entgegen- gestellt. Angesichts seiner beruflichen Erfahrung und seines im Heimat- staat bestehenden Beziehungsnetzes ist nicht davon auszugehen, dass der Beschwerdeführer bei einer Rückkehr nach Nigeria aus sozialen oder wirtschaftlichen Gründen in eine existenzielle Notlage geraten wird. Die im Laufe des erstinstanzlichen Verfahrens vorgebrachten gesundheit- lichen Probleme wurden ärztlich untersucht und – soweit notwendig – be- handelt (Hämorrhoiden operiert, tränendes Auge und Appetitlosigkeit). Die letzten aktenkundigen Arztberichte stammen aus dem Jahr 2023 (vgl. SEM-eAkten 28/9); seither wurden keine weiteren Arztberichte zu den Ak- ten gereicht. Auf Beschwerdeebene wurden sodann auch keine medizini- schen Beschwerden geltend gemacht. Vor diesem Hintergrund ist davon auszugehen, dass die durchgeführten Behandlungen Erfolg gezeigt haben und zurzeit keine gravierenden medizinischen Beschwerden vorliegen. Im Übrigen sind die damals geltend gemachten gesundheitlichen Probleme nicht gravierender Art und können – bei Bedarf – im Heimatstaat adäquat weiterbehandelt werden. Der Vollzug der Wegweisung erweist sich nach dem Gesagten als zumut- 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sich der Vollzug der Wegweisung auch als möglich erweist (Art. 83 Abs. 2 AIG).</w:t>
      </w:r>
    </w:p>
    <w:p>
      <w:r>
        <w:rPr>
          <w:b/>
        </w:rPr>
        <w:t>E. 7.5</w:t>
      </w:r>
    </w:p>
    <w:p>
      <w:r>
        <w:t>Die Vorinstanz hat den Vollzug demnach zu Recht als zulässig, zumut- bar und möglich erachtet. Damit fällt die Anordnung einer vorläufigen</w:t>
      </w:r>
    </w:p>
    <w:p>
      <w:r>
        <w:t>E-2694/2024 Seite 8 Aufnahme ausser Betracht (Art. 83 Abs. 1–4 AIG). Das Eventualbegehren ist abzuweisen.</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Der Beschwerdeführer beantragt die Gewährung der unentgeltlichen Prozessführung. Aufgrund der vorstehenden Erwägungen ergibt sich, dass seine Begehren als aussichtlos zu gelten haben, womit eine der kumulativ zu erfüllenden Voraussetzungen gemäss Art. 65 Abs. 1 VwVG nicht gege- ben ist, weshalb das Gesuch abzuweisen ist.</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9.3</w:t>
      </w:r>
    </w:p>
    <w:p>
      <w:r>
        <w:t>Mit vorliegendem Urteil ist der Antrag auf Verzicht auf Erhebung eines Kostenvorschusses gegenstandslos geworden. (Dispositiv nächste Seite)</w:t>
      </w:r>
    </w:p>
    <w:p>
      <w:r>
        <w:t>E-2694/2024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