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E-2693/2023 vom 17. Mai 2023</w:t>
      </w:r>
    </w:p>
    <w:p>
      <w:r>
        <w:t>Bundesverwaltungsgericht, 2023-05-17, DE</w:t>
      </w:r>
    </w:p>
    <w:p>
      <w:r>
        <w:rPr>
          <w:b/>
        </w:rPr>
        <w:t xml:space="preserve">Quelle: </w:t>
      </w:r>
      <w:r>
        <w:t>https://mcp.opencaselaw.ch/entscheid/bvger_E-2693_2023</w:t>
      </w:r>
    </w:p>
    <w:p>
      <w:r>
        <w:t>FR: TAF E-2693/2023 du 17 mai 2023</w:t>
      </w:r>
    </w:p>
    <w:p>
      <w:r>
        <w:t>IT: TAF E-2693/2023 del 17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Die Änderung des Geburtsdatums im ZEMIS (Dispositivziffer 5 der vorinstanzlichen Verfügung) wurde vom Beschwerdeführer nicht angefochten und ist somit nicht Gegenstand des vorliegenden Verfahrens.</w:t>
      </w:r>
    </w:p>
    <w:p>
      <w:r>
        <w:rPr>
          <w:b/>
        </w:rPr>
        <w:t>E. 1.3</w:t>
      </w:r>
    </w:p>
    <w:p>
      <w:r>
        <w:t>Das Verfahren richtet sich nach dem VwVG, soweit das VGG und das AsylG nichts anderes bestimmen (Art. 37 VGG und Art. 6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wie dem vorliegenden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Vorliegend ist den Akten zu entnehmen, dass der Beschwerdeführer am 17. Februar 2023 in Österreich als Asylsuchender registriert wurde. Das SEM ersuchte deshalb die österreichischen Behörden am 19. April 2023 um Wiederaufnahme des Beschwerdeführers gestützt auf Art. 18 Abs. 1 Bst. b Dublin-III-VO. Die österreichischen Behörden nahmen innerhalb der festgelegten Frist zum Übernahmeersuchen keine Stellung, womit die Zuständigkeit der Behandlung des Asylgesuchs gemäss Art. 25 Abs. 2 Dublin-II-VO an Österreich überging. Der Einwand des Beschwerdeführers, er habe in Österreich eigentlich gar kein Asylgesuch stellen wollen, ist bezüglich der Zuständigkeitsfrage unbehelflich, da bereits die vom Beschwerdeführer nicht bestrittene Einreise in das Hoheitsgebiet der Dublin-Staaten die Zuständigkeit Österreichs für die Durchführung des Asyl- und Wegweisungsverfahrens begründet (Art. 18 Abs. 1 Bst. a Dublin-III-VO; vgl. hierzu statt vieler: Urteil BVGer D-270/2021 vom 29. Januar 2021, E.4.1.). Im Übrigen kann auf die zutreffenden weiteren Ausführungen in der angefochtenen Verfügung verwiesen werden, denen sich das Gericht anschliesst.</w:t>
      </w:r>
    </w:p>
    <w:p>
      <w:r>
        <w:rPr>
          <w:b/>
        </w:rPr>
        <w:t>E. 5.2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An dieser Einschätzung vermögen die Hinweise in der Beschwerde auf einzelne Berichte über die allgemeine Situation für Asylsuchende in Österreich nichts zu ändern. Der Beschwerdeführer hat kein konkretes und ernsthaftes Risiko dargetan, dass die österreichischen Behörden in seinem Fall den erwähnten völkerrechtlichen Verpflichtungen nicht nachkommen würden.</w:t>
      </w:r>
    </w:p>
    <w:p>
      <w:r>
        <w:rPr>
          <w:b/>
        </w:rPr>
        <w:t>E. 5.3</w:t>
      </w:r>
    </w:p>
    <w:p>
      <w:r>
        <w:t>Es gibt auch keinen Grund für die Anwendung der Ermessensklausen von Art. 17 Dublin-III-VO oder von Art. 29a Abs. 3 der Asylverordnung 1 vom 11. August 1999 (AsylV 1, SR 142.311). Österreich bleibt somit zuständiger Mitgliedstaat gemäss Dublin-III-VO und ist verpflichtet, den Beschwerdeführer wiederaufzunehmen.</w:t>
      </w:r>
    </w:p>
    <w:p>
      <w:r>
        <w:rPr>
          <w:b/>
        </w:rPr>
        <w:t>E. 6</w:t>
      </w:r>
    </w:p>
    <w:p>
      <w:r>
        <w:t>Der Beschwerdeführer rügt im speziellen, die Vorinstanz habe den Umstand zu wenig gewürdigt, dass er einen in der Schweiz lebenden Bruder habe. Der familiäre Bezug sei in seiner Kultur sehr wichtig. Ferner könne sein Bruder ihn in seiner Wohnung aufnehmen und sei auch für seine psychische Stabilität wichtig.</w:t>
      </w:r>
    </w:p>
    <w:p>
      <w:r>
        <w:rPr>
          <w:b/>
        </w:rPr>
        <w:t>E. 6.1</w:t>
      </w:r>
    </w:p>
    <w:p>
      <w:r>
        <w:t>Die Vorinstanz führte im Rahmen der angefochtenen Verfügung hierzu aus, dass aus dem Umstand, dass der Beschwerdeführer über Verwandte in der Schweiz verfüge, er nichts zu seinen Gunsten ableiten könne, da sein Bruder nicht als Familienangehöriger im Sinne von Art. 2 Bst. g Dublin-III-VO gelte. Gemäss Art. 2 Bst. g Dublin-III-VO würden nur Ehegatten, nicht verheiratete Partner, welche eine dauerhafte Beziehung führten, und minderjährige Kinder als Familienangehörige gelten. Zudem bestünden auch keine Hinweise auf ein besonderes Abhängigkeitsverhältnis zwischen ihm und seinem Bruder. Aus der Anwesenheit seines Bruders in der Schweiz lasse sich somit kein Zuständigkeitskriterium ableiten und die Zuständigkeit Österreich bleibe bestehen.</w:t>
      </w:r>
    </w:p>
    <w:p>
      <w:r>
        <w:rPr>
          <w:b/>
        </w:rPr>
        <w:t>E. 6.2</w:t>
      </w:r>
    </w:p>
    <w:p>
      <w:r>
        <w:t>Die Würdigung der Vorinstanz ist nicht zu beanstanden. Aus dem Umstand, dass sich der Bruder des Beschwerdeführers in der Schweiz befindet, vermag dieser nichts zu seinen Gunsten abzuleiten, da es sich bei jenem - wie die Vorinstanz zu Recht ausgeführt hat - um keinen Familienangehörigen im Sinne von Art. 2 Bst. g Dublin-III-VO handelt, womit dieses Verwandtschaftsverhältnis alleine keine Dublin-relevante Zuständigkeit für die Schweiz zu begründen vermag. Zudem wird kein Abhängigkeitsverhältnis zum Bruder dargelegt. Der blosse Umstand, dass er der familiären Beziehung kulturell grosse Bedeutung zumisst beziehungsweise sich vom Zusammenleben mit seinem Bruder mentale Unterstützung verspricht, ist vorliegend ohne rechtliche Relevanz.</w:t>
      </w:r>
    </w:p>
    <w:p>
      <w:r>
        <w:rPr>
          <w:b/>
        </w:rPr>
        <w:t>E. 7</w:t>
      </w:r>
    </w:p>
    <w:p>
      <w:r>
        <w:t>Das SEM ist demnach zu Recht in Anwendung von Art. 31a Abs. 1 Bst. b AsylG auf das Asylgesuch nicht eingetreten und hat - weil der Beschwerdeführer nicht im Besitz einer gültigen Aufenthalts- oder Niederlassungsbewilligung ist - in Anwendung von Art. 44 AsylG die Überstellung nach Österreich angeordnet. Die Beschwerde ist demzufolge abzuweisen.</w:t>
      </w:r>
    </w:p>
    <w:p>
      <w:r>
        <w:rPr>
          <w:b/>
        </w:rPr>
        <w:t>E. 8.1</w:t>
      </w:r>
    </w:p>
    <w:p>
      <w:r>
        <w:t>Mit dem vorliegenden Urteil werden die Gesuche um Gewährung der aufschiebenden Wirkung und um Verzicht auf das Erheben eines Kostenvorschusses gegenstandslos. Mit dem vorliegenden Urteil fällt auch der am 12. Mai 2023 angeordnete Vollzugsstopp dahin.</w:t>
      </w:r>
    </w:p>
    <w:p>
      <w:r>
        <w:rPr>
          <w:b/>
        </w:rPr>
        <w:t>E. 8.2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