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E-2691/2020 vom 17. Juni 2020</w:t>
      </w:r>
    </w:p>
    <w:p>
      <w:r>
        <w:t>Bundesverwaltungsgericht, 2020-06-17, DE</w:t>
      </w:r>
    </w:p>
    <w:p>
      <w:r>
        <w:rPr>
          <w:b/>
        </w:rPr>
        <w:t xml:space="preserve">Quelle: </w:t>
      </w:r>
      <w:r>
        <w:t>https://mcp.opencaselaw.ch/entscheid/bvger_E-2691_2020</w:t>
      </w:r>
    </w:p>
    <w:p>
      <w:r>
        <w:t>FR: TAF E-2691/2020 du 17 juin 2020</w:t>
      </w:r>
    </w:p>
    <w:p>
      <w:r>
        <w:t>IT: TAF E-2691/2020 del 17 giugno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Prüfung der Akten durch das Gericht ist in Übereinstimmung mit der Vorinstanz festzustellen, dass die Asylvorbringen der Beschwerdeführer den Anforderungen an die Flüchtlingseigenschaft gemäss Art. 3 AsylG nicht standzuhalten vermögen. Es kann vorab auf die zutreffenden Erwägungen der Vorinstanz verwiesen werden.</w:t>
      </w:r>
    </w:p>
    <w:p>
      <w:r>
        <w:rPr>
          <w:b/>
        </w:rPr>
        <w:t>E. 5.2</w:t>
      </w:r>
    </w:p>
    <w:p>
      <w:r>
        <w:t>Das Bundesverwaltungsgericht hat sich in den letzten Jahren mehrfach zur Schutzfähigkeit und zum Schutzwillen der türkischen Behörden hinsichtlich des Umgangs mit Opfern von häuslicher Gewalt und Zwangsheirat geäussert (vgl. insbesondere das Referenzurteil des BVGer E-1948/2018 vom 12. Juni 2018 E. 5.2 ff. m.w.H.) und dabei Folgendes festgestellt: Die Türkei hat in den vergangenen Jahren kontinuierliche Schritte zur Verbesserung der rechtlichen und gesellschaftlichen Situation der Frauen und im Besonderen zu deren Schutz vor Übergriffen mit soziokulturellem Hintergrund - bis hin zum Ehrenmord - unternommen. Das Gesetz Nr. 6284 zum Schutz der Familie und zur Verhütung von Gewalt gegen Frauen aus dem Jahr 2012 zielt auf den Opferschutz und die Anordnung von verschiedenen Sicherheits- und Unterstützungsmassnahmen ab, wobei alle Frauen, einschliesslich der Unverheirateten, vom Schutz umfasst sind. Bei der Revision des Türkischen Strafgesetzbuchs im Jahre 2004 sind der Strafrahmen für Strafen bei Taten gegen Frauen erhöht und die Strafmilderungsgründe bei Fällen von Ehrenmord und Vergewaltigung aufgehoben worden. Bereits im Jahr 1990 wurden Frauenhäuser in der Türkei eröffnet. Auch wenn in der Türkei unbestreitbarerweise nach wie vor Ehrenmorde und häusliche Gewalt zu registrieren sind, bedeutet dies nicht, dass die bedrohten Frauen oder Familien innerfamiliären Übergriffen völlig schutzlos ausgeliefert wären. Die türkischen Behörden sind entschlossen, gegen das Phänomen effektiv vorzugehen und grundsätzlich auch in der Lage, Schutz zu gewähren. Die Schutz-Infrastruktur ist in den städtischen Gebieten der Türkei jedoch dichter als in ruralen Gegenden insbesondere Zentral- und Ost-anatoliens. Aus dem Gesagten ergibt sich, dass die Beschwerdeführerin und ihre Tochter allfälligen innerfamiliären Übergriffen namentlich durch ihren Bruder nicht schutzlos ausgeliefert sind. Es ist in Übereinstimmung mit der Vorinstanz vom behördlichen Schutzwillen und der grundsätzlichen behördlichen Schutzfähigkeit auszugehen. Diese Einschätzung wurde vom Bundesverwaltungsgericht in jüngeren Urteilen bestätigt (vgl. z.B. Urteile E-1175/2020 vom 16. März 2020 E. 7.2, E-4377/2019 vom 8. November 2019 E. 6.1 oder D-5702/2019 vom 8. November 2019 E. 6.1).</w:t>
      </w:r>
    </w:p>
    <w:p>
      <w:r>
        <w:rPr>
          <w:b/>
        </w:rPr>
        <w:t>E. 5.3</w:t>
      </w:r>
    </w:p>
    <w:p>
      <w:r>
        <w:t>Nach dem Gesagten ist davon auszugehen, dass die Beschwerdeführerin und ihre Tochter allfälligen innerfamiliären Übergriffen nicht schutzlos ausgeliefert wären und ihnen die Inanspruchnahme der staatlichen Schutzeinrichtungen und rechtlichen Anlaufstellen in der Türkei zuzumuten wäre. Dass in ihrem Heimatstaat eine funktionierende Schutzstruktur vorhanden ist, wurde denn auch in der Beschwerdeschrift nicht bestritten. Die von der Beschwerdeführerin vorgebrachten Gründe dafür, dass sie diese nicht in Anspruch nahm, sind nicht stichhaltig.</w:t>
      </w:r>
    </w:p>
    <w:p>
      <w:r>
        <w:rPr>
          <w:b/>
        </w:rPr>
        <w:t>E. 5.4</w:t>
      </w:r>
    </w:p>
    <w:p>
      <w:r>
        <w:t>Angesichts dessen, dass die Vorinstanz zu Recht die Flüchtlingseigenschaft der Beschwerdeführerinnen verneint hat, zielt die Argumentation in der Beschwerdeeingabe, die Feststellung in der angefochtenen Verfügung, es drohe ihnen im Heimatstaat eine gegen Art. 3 EMRK verstossende Strafe oder Behandlung, stehe hierzu im Widerspruch, ins Leere. Die Frage, ob die Vorinstanz zu Recht von einem "real risk" im Sinne dieser Bestimmung ausgegangen ist und den Vollzug der Wegweisung der Beschwerdeführerinnen als unzulässig qualifiziert hat, ist im vorliegenden - auf die Frage des Asyls und der Flüchtlingseigenschaft beschränkten - Beschwerdeverfahren nicht zu überprüfen.</w:t>
      </w:r>
    </w:p>
    <w:p>
      <w:r>
        <w:rPr>
          <w:b/>
        </w:rPr>
        <w:t>E. 5.5</w:t>
      </w:r>
    </w:p>
    <w:p>
      <w:r>
        <w:t>Zusammenfassend ist festzuhalten, dass es den Beschwerdeführerinnen nicht gelungen ist, eine im Sinne von Art. 3 AsylG relevante Verfolgungsgefahr nachzuweisen oder glaubhaft darzutun. Die Vorinstanz hat ihre Asylgesuche demzufolge zu Recht abgelehnt. Gründe für die eventualiter beantragte Rückweisung der Sache an die Vorinstanz sind den Akten nicht zu entnehmen.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6.3</w:t>
      </w:r>
    </w:p>
    <w:p>
      <w:r>
        <w:t>Da das SEM in seiner Verfügung vom 17. April 2020 die vorläufige Aufnahme der Beschwerdeführerin und ihrer Tochter in der Schweiz angeordnet hat, erübrigen sich praxisgemäss Ausführungen zur Zulässigkeit, Zumutbarkeit und Möglichkeit des Wegweisungsvollzugs.</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Aus den vorstehenden Erwägungen ergibt sich, dass die Beschwerdebegehren der Beschwerdeführerin schon bei Einreichung des Rechtsmittels als aussichtslos zu gelten hatten. Damit ist - ungeachtet der Frage der prozessualen Bedürftigkeit der Beschwerdeführerin - eine der kumulativ zu erfüllenden Voraussetzungen für die Gewährung der unentgeltlichen Rechtspflege und Verbeiständung gemäss Art. 65 Abs. 1 VwVG und aArt. 110a Abs. 1 Bst. a AsylG nicht erfüllt, und die entsprechenden Gesuche sind demnach abzuweisen. Das Gesuch um Verzicht auf die Kostenvorschusserhebung ist mit dem vorliegenden Entscheid gegenstandslos geworden.</w:t>
      </w:r>
    </w:p>
    <w:p>
      <w:r>
        <w:rPr>
          <w:b/>
        </w:rPr>
        <w:t>E. 9</w:t>
      </w:r>
    </w:p>
    <w:p>
      <w:r>
        <w:t>Bei diesem Ausgang des Verfahrens sind die Kosten den Beschwerdeführerinnen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