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E-2684/2020 vom 9. Dezember 2021</w:t>
      </w:r>
    </w:p>
    <w:p>
      <w:r>
        <w:t>Bundesverwaltungsgericht, 2021-12-09, DE</w:t>
      </w:r>
    </w:p>
    <w:p>
      <w:r>
        <w:rPr>
          <w:b/>
        </w:rPr>
        <w:t xml:space="preserve">Quelle: </w:t>
      </w:r>
      <w:r>
        <w:t>https://mcp.opencaselaw.ch/entscheid/bvger_E-2684_2020</w:t>
      </w:r>
    </w:p>
    <w:p>
      <w:r>
        <w:t>FR: TAF E-2684/2020 du 9 décembre 2021</w:t>
      </w:r>
    </w:p>
    <w:p>
      <w:r>
        <w:t>IT: TAF E-2684/2020 del 9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Hinsichtlich des Eventualantrags um Wiederherstellung der aufschiebenden Wirkung ist anzumerken, dass der Beschwerde von Gesetzes wegen aufschiebende Wirkung zukommt und das SEM diese nicht entzogen hat (Art. 55 VwVG). Auf den Antrag ist daher mangels Rechtsschutzinteresse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kam in der angefochtenen Verfügung zum Schluss, dass die Vorbringen des Beschwerdeführers weder den Anforderungen von Art. 3 AsylG an die Flüchtlingseigenschaft noch denjenigen von Art. 7 AsylG an das Glaubhaftmachen standhielten.</w:t>
      </w:r>
    </w:p>
    <w:p>
      <w:r>
        <w:rPr>
          <w:b/>
        </w:rPr>
        <w:t>E. 5.1.1</w:t>
      </w:r>
    </w:p>
    <w:p>
      <w:r>
        <w:t>Seine Angaben zum inneren sowie äusseren Konversionsprozess, die ihn ansprechenden Glaubensinhalte des Christentums und seine konkreten Aktivitäten seien vage und oberflächlich ausgefallen. Er habe während der gesamten Anhörung an keiner Stelle inhaltlich auf das Christentum eingehen können, lediglich substanzlose Aussagen gemacht und stattdessen ausweichend und vage erwähnt, was ihm am Islam nicht gefalle. Es wäre von ihm als ehemaligen Koran-Meister zu erwarten gewesen, dass er substanziiert und erlebnisgeprägt erklären könne, wie sein Konversionsprozess in dieser relativ kurzen Zeitspanne konkret verlaufen sei. Weiter habe er auch nicht erklären können, welche Glaubensinhalte für eine solch rasche Hinwendung zum Christentum überhaupt verantwortlich gewesen seien. Auch seine Schilderungen bezüglich seiner Kontaktpunkte mit dem Christentum seien als vage und rudimentär zu bezeichnen. Er habe weder konkrete Angaben zu Treffen mit anderen Christen gemacht noch sei er in der Lage gewesen, das christliche Leben nachvollziehbar zu beschreiben. Er habe sich auf pauschale Angaben beschränkt, die jeder machen könnte, der noch nie bei solchen Treffen dabei gewesen sei. Es könne ihm nicht geglaubt werden, sich ernsthaft dem Christentum zugewendet zu haben.</w:t>
      </w:r>
    </w:p>
    <w:p>
      <w:r>
        <w:rPr>
          <w:b/>
        </w:rPr>
        <w:t>E. 5.1.2</w:t>
      </w:r>
    </w:p>
    <w:p>
      <w:r>
        <w:t>Auch die behaupteten Konflikte und die angebliche Verfolgung durch die Familie seien vage und oberflächliche geblieben. Er habe auch nur vage Aussagen dazu gemacht, weshalb er ausgerechnet auf der (...) seiner (...) seinen religiösen Sinneswandel erklärt habe. Weiter wäre auch zu erwarten gewesen, dass er seine Beweggründe und Gedanken detailliert schildern könnte. Seine Vorbringen hinsichtlich der zwei Monate nach der Bekanntgabe seiner Hinwendung zum Christentum seien widersprüchlich und ebenfalls vage. So habe er einerseits vorgetragen, den Kontakt mit seiner Familie so weit wie möglich vermieden zu haben und der Wohnung der Familie möglichst ferngeblieben zu sein. Andererseits sei er ausgerechnet im religiös wichtigen Monat Ramadan zu seinen Geschwistern zurückgekehrt. Weshalb seine angeblich religiösen Brüder seine Rückkehr in die gemeinsame Wohnung geduldet hätten, gehe aus seinen Aussagen ebenfalls nicht hervor. Die behauptete Eskalation mit seinem Bruder, welcher von seinem Interesse am Christentum ja schon seit langem volle Kenntnis gehabt habe, sei ebenfalls nicht nachvollziehbar. Den Konflikt und die anschliessende Flucht habe er weder detailliert noch konkret beschreiben können. Die Schilderung von Details und Emotionen fehle in seinen Erzählungen gänzlich. Dass er letztlich sogar einen angeblichen Sturz aus dem Fenster (...) völlig unverletzt überstanden habe, habe er lapidar mit dem «Wille Gottes» erklärt. Seine anschliessende Flucht sei ebenfalls teilweise widersprüchlich und nur sehr vage geschildert worden.</w:t>
      </w:r>
    </w:p>
    <w:p>
      <w:r>
        <w:rPr>
          <w:b/>
        </w:rPr>
        <w:t>E. 5.1.3</w:t>
      </w:r>
    </w:p>
    <w:p>
      <w:r>
        <w:t>Unbesehen der fehlenden Glaubhaftigkeit seiner Schilderungen sei seine Hinwendung zum Christentum auch nicht asylrelevant. Eine Verfolgung durch die iranischen Behörden habe er gar nicht erst geltend gemacht. Hinsichtlich der Situation von Konvertiten werde im Iran nicht von einer automatischen Verfolgung durch die Behörden ausgegangen. Vielmehr setze eine potenzielle Gefährdung voraus, dass ein Konvertit innerhalb seiner neuen Glaubensgemeinschaft eine exponierte Stellung beziehungsweise Funktion innehabe, indem er sich etwa aktiv für die Verbreitung seines neuen Glaubensbekenntnisses einsetze und zusätzlich gegen staatliche Interessen handle. Den Akten seien jedoch keine Hinweise dafür zu entnehmen, dass er nach seiner Ausreise aus dem Iran eine exponierte Stellung oder Funktion innerhalb der christlichen Glaubensgemeinschaft innegehabt hätte oder aktuell habe. Darüber hinaus bestünden keine Hinweise dafür, dass die iranischen Behörden von seiner allfälligen geltend gemachten christlichen Religionszugehörigkeit überhaupt je Kenntnis erlangt hätten. Da er im Iran auch nicht wegen einer regierungsfeindlichen Haltung negativ aufgefallen sei, bestehe insgesamt kein begründeter Anlass zur Annahme, dass er aufgrund seiner mutmasslichen Religionszugehörigkeit in seinem Heimatland mit beachtlicher Wahrscheinlichkeit und in absehbarer Zukunft Verfolgungsmassnahmen ausgesetzt wäre.</w:t>
      </w:r>
    </w:p>
    <w:p>
      <w:r>
        <w:rPr>
          <w:b/>
        </w:rPr>
        <w:t>E. 5.2</w:t>
      </w:r>
    </w:p>
    <w:p>
      <w:r>
        <w:t>In seiner Beschwerde betonte der Beschwerdeführer zunächst die Ernsthaftigkeit seiner Zuwendung zum Christentum. Er habe nachträglich nun mit Hilfe eines Übersetzers ein Schreiben verfasst. Darin habe er seine Hinwendung zum Christentum nun ausführlich darlegt. Es sei leider nicht jedermanns Sache, vor einer Gruppe gänzlich Fremder von höchstpersönlichen Erfahrungen zu sprechen. Dass er dies im Asylverfahren nicht besser habe erklären können, dürfe ihm daher nicht angelastet werden. Sodann habe er entgegen der Annahme des SEM keinen theoretischen, sondern vor allem einen «emotionalen Zugang» zum Christentum gefunden. Aus diesem Grund habe er unglücklicherweise keine befriedigende Antwort auf inhaltliche Fragen geben können. Wie er ganz offen zugebe, habe er das Christentum damals wirklich nicht so gut gekannt. Sodann sei ihm nicht bewusst gewesen, dass er bereits früher Nachweise für seine Annäherung an die christliche Religion in der Schweiz hätte einreichen müssen; dies hole er nun mit den Beschwerdebeilagen nach. Bei einer Rückkehr in den Iran wäre es ihm nicht möglich, gegen aussen weiterhin als Moslem zu leben. Da er auch Bibelarbeiten mit anderen persischsprachigen Glaubensbrüdern ausübe, habe er sich exponiert.</w:t>
      </w:r>
    </w:p>
    <w:p>
      <w:r>
        <w:rPr>
          <w:b/>
        </w:rPr>
        <w:t>E. 6</w:t>
      </w:r>
    </w:p>
    <w:p>
      <w:r>
        <w:t>Zunächst sind die geltend gemachten Vorfluchtgründe und Ereignisse im Iran zu prüfen.</w:t>
      </w:r>
    </w:p>
    <w:p>
      <w:r>
        <w:rPr>
          <w:b/>
        </w:rPr>
        <w:t>E. 6.1</w:t>
      </w:r>
    </w:p>
    <w:p>
      <w:r>
        <w:t>Betreffend die Glaubhaftigkeit seines Konversionsprozesses im Iran kann grundsätzlich auf die ausführlichen und zutreffenden Ausführungen der Vorinstanz verwiesen werden, wonach es ihm anlässlich der Anhörung nicht gelungen ist, diesen nachvollziehbar und glaubhaft zu schildern. Sein nachträglicher Erklärungsversuch, er habe hauptsächlich einen bloss «emotionalen Zugang» zum Christentum, stellt eine reine Schutzbehauptung dar. Dies erklärt nicht, weshalb er sich nicht substanziiert zu den (ihm wichtig erscheinenden) Glaubensinhalten des Christentums hat äussern können. Die fehlende Substanz ist weiter auch deshalb erstaunlich, da er sich angeblich bereits im Iran mit Glaubensgenossen ausgetauscht und an Treffen teilgenommen habe, wo sie über ihren Glauben und das Christentum gesprochen hätten (vgl. vorinstanzliche Akten A18 F56, Beschwerdebeilage 3). Zusätzlich ist darauf hinzuweisen, dass der Beschwerdeführer selber Koran-Meister war und somit mit religiösen Fragen und Grundsätzen vertraut ist. Er betonte sogar selber mehrfach, dass er sich mit Fragen der Religion gut auskenne (vgl. A18 F56, F60). Es wäre daher zu erwarten gewesen, dass er sein plötzliches Interesse am Christentum substanziiert hätte erklären und den Prozess seiner angeblichen Hinwendung zum Christentum nachvollziehbar erläutern können. Entsprechendes trifft in casu aber nicht zu. Vielmehr erschöpft sich der Beschwerdeführer in seinen Ausführungen inhaltlich zumeist in Allgemeinplätzen und Stereotypen (vgl. A18 F58, F61, F62, F67). Mit seiner Beschwerdeeingabe reichte er nachträglich Ausführungen zu seinem angeblichen Konversionsprozess nach (Beschwerdebeilage 3). Der Beweiswert dieser nachträglichen Ausführungen ist jedoch gering. Dabei ist zum einen nicht nachvollziehbar, weshalb er diese Angaben an der Anhörung des SEM nicht in annähernd ähnlicher Weise schildern konnte. Die entsprechenden Angaben wirken daher nachgeschoben. Zum anderen ist auch nicht auszuschliessen, dass er hierzu (insbesondere bezüglich der Wiedergabe konkreter Glaubensinhalte) Hilfe von Dritten erhalten hat. Aus den übrigen Unterlagen geht hervor, dass er sich in der Schweiz in der evangelischen Gemeinde bewegt und sich behauptungsgemäss (entsprechende Beweismittel, wie beispielsweise ein Taufschein oder Fotos, fehlen) taufen liess (vgl. Beschwerdebeilagen 3 und 4 [Schreiben des Pastors der E._______ vom {...} April 2020]). Eine - zumindest äussere - nachträgliche Zuwendung hin zum Christentum ist damit erkennbar. Eine vertiefte Prüfung seiner Konversion ist jedoch nicht angezeigt, da diese vorliegend - wie nachfolgend in E. 6.3 ausgeführt - weder asyl- noch flüchtlingsrelevant ist.</w:t>
      </w:r>
    </w:p>
    <w:p>
      <w:r>
        <w:rPr>
          <w:b/>
        </w:rPr>
        <w:t>E. 6.2</w:t>
      </w:r>
    </w:p>
    <w:p>
      <w:r>
        <w:t>Dem Beschwerdeführer ist es auch nicht gelungen die angebliche Verfolgung durch seine Familienmitglieder glaubhaft zu machen. Mangels entsprechender Beschwerdevorbringen kann vollumfänglich auf die diesbezüglichen Erwägungen in der angefochtenen Verfügung (dort S. 5-7) verwiesen werden, denen sich das Gericht anschliesst. Die behaupteten Konflikte mit seinen Geschwistern wirken stereotyp. Dass der Beschwerdeführer sich beispielsweise ausgerechnet bewusst den (...) zum (...) ausgesucht haben will, um seinen Brüdern sein Interesse am Christentum zu offenbaren, wirkt wenig lebensnah (vgl. A18 F42: «Das erste Mal, als ich dann vorhatte, es ihnen mitzuteilen, war im letzten Jahr. Es war der [...] meiner [...].»). Auch dass der Beschwerdeführer zum einen den Kontakt zu seiner Familie vermieden haben will, um bewusst Konflikte zu Religionsfragen zu vermeiden, dann aber ausgerechnet im religiös wichtigen Fastenmonat Ramadan zur Familie zurückkehrt, ist nicht nachvollziehbar. Auch erscheint das eigentliche Motiv für die angebliche Verfolgung durch die Familie nicht verständlich und widersprüchlich. Zum einen haben seine Geschwister seit Monaten Kenntnis darüber, dass sich der Beschwerdeführer zum Christentum hingezogen fühlt. Zwar hat dies angeblich zu Konflikten geführt; dies hat im Verhältnis zu den Geschwistern aber nicht daran gehindert, dass der Beschwerdeführer aktiven Kontakt zu der Familie pflegt und im Fastenmonat Ramadan wieder zuhause bei ihnen im gleichen Haus wohnt. Dass daher der blosse Umstand, dass der Beschwerdeführer im Fernsehen einen Film über Jesus geschaut habe, zu einer plötzlichen Wende und zu einer plötzlichen landesweiten Verfolgung geführt haben soll, ist daher kaum glaubhaft. Auch der Umstand, dass der Beschwerdeführer hierbei einen angeblichen Sturz aus dem (...) des Hauses auf wundersame Weise unverletzt überstanden haben will, und dies lapidar mit «dem Willen Gottes» zu erklären versucht, zeigt, dass seine Schilderungen sehr konstruiert wirken.</w:t>
      </w:r>
    </w:p>
    <w:p>
      <w:r>
        <w:rPr>
          <w:b/>
        </w:rPr>
        <w:t>E. 6.3</w:t>
      </w:r>
    </w:p>
    <w:p>
      <w:r>
        <w:t>Schliesslich ist die Asylrelevanz der geltend gemachten Konversion zum Christentum zu prüfen.</w:t>
      </w:r>
    </w:p>
    <w:p>
      <w:r>
        <w:rPr>
          <w:b/>
        </w:rPr>
        <w:t>E. 6.3.1</w:t>
      </w:r>
    </w:p>
    <w:p>
      <w:r>
        <w:t>Der Übertritt des Beschwerdeführers zum Christentum im Iran vermag gemäss Praxis des Bundesverwaltungsgerichts für sich alleine zu keiner (individuellen) staatlichen Verfolgung zu führen. Eine Verfolgung durch den iranischen Staat kommt erst dann zum Tragen, wenn der Glaubenswechsel aufgrund einer missionierenden Tätigkeit bekannt wird und zugleich Aktivitäten der Konvertierten vorliegen, die vom Regime als Angriff auf den Staat angesehen werden (vgl. BVGE 2009/28 E. 7.3.4). Diese Beurteilung hat nach wie vor ihre Gültigkeit (vgl. statt vieler Urteil des BVGer D-3684/2020 vom 18. Oktober 2021 E. 7, m.w.H.). Der Beschwerdeführer hat nicht vorgetragen, dass er vor seiner Ausreise je für seinen neuen Glauben missionarisch tätig gewesen sei; er hat sich im Iran durch seinen christlichen Glauben nicht in asylrelevanter Weise exponiert und es finden sich in den Akten auch keinerlei Hinweise für eine regierungskritische Tätigkeit. Schliesslich spricht auch der Umstand, dass der Beschwerdeführer mehr als drei Monate nach der angeblichen Eskalation des Konflikts mit seinen Brüdern den Iran soweit aus den Akten ersichtlich ohne Probleme mit seinem eigenen Reisepass über den Flughafen verlassen hat, klar gegen ein behördliches Interesse an seiner Person.</w:t>
      </w:r>
    </w:p>
    <w:p>
      <w:r>
        <w:rPr>
          <w:b/>
        </w:rPr>
        <w:t>E. 6.3.2</w:t>
      </w:r>
    </w:p>
    <w:p>
      <w:r>
        <w:t>Der Beschwerdeführer führt in seiner schriftlichen Stellungnahme aus, dass er am (...) 2019 in der Schweiz getauft worden sei. Es sind daher subjektive Nachfluchtgründe im Sinne von Art. 54 AsylG zu prüfen (vgl. BVGE 2009/28 E. 7.1). Den Ausführungen des Beschwerdeführers und den von ihm eingereichten Beweismitteln (Beschwerdebeilagen 3 und 4) kann entnommen werden, dass sich seine Aktivitäten in der Schweiz vorwiegend auf die Teilnahme an internen Anlässen der christlichen Gemeinschaft (Gottesdienste und «Hauskreise» resp. private Treffen) beschränken. Darüber hinaus mache er Bibelarbeiten auf Deutsch und Persisch und habe Kontakte zu einer christlich-evangelischen Wohngemeinschaft sowie zum «F._______» (vgl. Beschwerdebeilage 3). Die Aktivitäten des Beschwerdeführers in der Schweiz stellen daher keine Glaubensausübung dar, welche im Sinne der Rechtsprechung geeignet ist, die Aufmerksamkeit der iranischen Behörden in flüchtlingsrelevanter Weise auf sich zu ziehen (vgl. dazu statt vieler Urteile des BVGer D-1754/2018 vom 16. Dezember 2020 E. 6.4, E-3017/2021 vom 16. Juli 2021 E. 8.2, je m.w.H., in Bestätigung von BVGE 2009/28 E. 7.3.4 ff.). Es ist auch nicht von einer missionarischen Tätigkeit oder einem in exponierter Weise ausgelebten Glauben auszugehen. Aus den Akten ergeben sich auch keine Anhaltspunkte dafür, dass der Beschwerdeführer nach einer Rückkehr ins Heimatland dort neu missionierende Tätigkeiten sollte entfalten wollen. Im Weiteren ist nicht ersichtlich, dass die in der Schweiz behauptungsweise vollzogene Taufe des Beschwerdeführers im Iran öffentlich bekannt geworden ist. Doch selbst wenn die iranischen Behörden auf irgendeine Weise von der Konversion Kenntnis erlangt haben sollten, ist die private Glaubensausübung im Iran grundsätzlich möglich (vgl. Urteil des BVGer E-6349/2019 vom 29. Juni 2021 E. 7.4.1 m.w.H.). Wie zudem bereits oben erwähnt, ist die angebliche Verfolgung durch seine Brüder für unglaubhaft zu befinden. Nach diesen Ausführungen kommt das Gericht zudem zum Schluss, dass das aktive Missionieren für den Beschwerdeführer offensichtlich kein zentrales Element seiner religiösen Identität darstellt, weshalb im Falle einer Rückkehr in den Iran die private Glaubensausübung für ihn nicht als unerträglicher psychischer Druck im Sinne von Art. 3 Abs. 2 AsylG zu qualifizieren wäre. So war es ihm denn auch eigenen Angaben zufolge bereits zuvor möglich, im Iran unabhängig von seiner Familie zu leben, problemlos an christlichen Veranstaltungen teilzunehmen und sich mit Gleichgesinnten auszutauschen. Zusammenfassend besteht kein Grund zu der Annahme, dass die iranischen Behörden ein Interesse daran hätten, den Beschwerdeführer bei seiner Rückkehr in den Iran aufgrund seiner Konversion zum Christentum zu verfolgen. Demnach kann dem Beschwerdeführer keine entsprechende, flüchtlingsrechtlich relevante Verfolgungsfurcht zuerkannt werden.</w:t>
      </w:r>
    </w:p>
    <w:p>
      <w:r>
        <w:rPr>
          <w:b/>
        </w:rPr>
        <w:t>E. 6.4</w:t>
      </w:r>
    </w:p>
    <w:p>
      <w:r>
        <w:t>Nach dem Ausgeführten hat das SEM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Nach Ansicht der Vorinstanz sei der Vollzug der Wegweisung zulässig, zumutbar und möglich. Der Beschwerdeführer habe die Schule abgeschlossen und befinde sich im besten erwerbsfähigen Alter. Seine ganze Familie befinde sich im Iran, womit er auf ein tragfähiges soziales Netz zurückgreifen könne. Die geltend gemachten medizinischen Beschwerden bei einer Rückkehr in den Iran seien nicht geeignet, eine medizinische Notlage zu begründen. Die benötigten Medikamente seien grundsätzlich erhältlich. Die Behandlung von mentalen Problemen sei für ihn in Teheran zudem möglich und zugänglich. Sodann stelle auch die COVID-19-Pandemie kein Vollzugshindernis dar.</w:t>
      </w:r>
    </w:p>
    <w:p>
      <w:r>
        <w:rPr>
          <w:b/>
        </w:rPr>
        <w:t>E. 8.4</w:t>
      </w:r>
    </w:p>
    <w:p>
      <w:r>
        <w:t>Der Beschwerdeführer hielt dem entgegen, dass der Iran besonders unter der Corona-Pandemie zu leiden habe. Es sei deshalb auch aus medizinischen Gründen nicht zumutbar, ihn in die ungewisse Situation im Iran zurückzuweisen. Es sei ihm sodann nicht möglich, seinen Glauben zu verleugnen, weshalb er im Iran in eine Situation geraten würde, welcher unmenschlicher Behandlung im Sinne der EMRK entspreche. Der Vollzug der Wegweisung sei daher weder zulässig noch zumutbar.</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Beschwerdeführer vermochte den ausführlichen vorinstanzlichen Erwägungen in seiner Beschwerde nichts Stichhaltiges entgegenzuhalten. Rein ergänzend ist anzufügen, dass er nicht nur auf die Unterstützung seiner Familie zählen kann, sondern dass er zusätzlich auch in Teheran über einen Freundeskreis verfügt, welcher ihn zuvor (trotz seiner angeblichen Konversion) unterstützt hat (vgl. A18 F44, F57 f.). Auch diese Beziehungen könnte er bei Bedarf wieder reaktivieren. Weiter brachte er auch selber vor, jederzeit von seiner Schwester (auch als er sich vermehrt zum Christentum hingezogen fühlte) unterstützt worden zu sein (vgl. A18 F65). Auch auf deren Unterstützung dürfte er bei seiner Rückkehr erneut zählen können. Hinsichtlich seiner gesundheitlichen Situation - zu welcher er sich auf Beschwerdeebene weder äusserte noch aktuelle Arztberichte einreichte - kann vollumfänglich auf die vorinstanzlichen Erwägungen verwiesen werden.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gemäss Art. 65 Abs. 1 VwVG sowie der unentgeltlichen Verbeiständung gemäss aArt. 110a Abs. 1 AsylG. Aufgrund der vorstehenden Erwägungen ergibt sich, dass sich die Begehren ungeachtet der allfälligen Mittellosigkeit des Beschwerdeführers als aussichtslos erweisen und es daher an einer gesetzlichen Voraussetzung zu deren Gewährung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