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E-2684/2014 vom 4. Juli 2014</w:t>
      </w:r>
    </w:p>
    <w:p>
      <w:r>
        <w:t>Bundesverwaltungsgericht, 2014-07-04, DE</w:t>
      </w:r>
    </w:p>
    <w:p>
      <w:r>
        <w:rPr>
          <w:b/>
        </w:rPr>
        <w:t xml:space="preserve">Quelle: </w:t>
      </w:r>
      <w:r>
        <w:t>https://mcp.opencaselaw.ch/entscheid/bvger_E-2684_2014</w:t>
      </w:r>
    </w:p>
    <w:p>
      <w:r>
        <w:t>FR: TAF E-2684/2014 du 4 juillet 2014</w:t>
      </w:r>
    </w:p>
    <w:p>
      <w:r>
        <w:t>IT: TAF E-2684/2014 del 4 luglio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2.3</w:t>
      </w:r>
    </w:p>
    <w:p>
      <w:r>
        <w:t>In Anwendung von Art. 111a Abs. 1 AsylG verzichtet das Gericht vorliegend auf die Durchführung eines Schriftenwechsels.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kommt in der angefochtenen Verfügung im Wesentlichen zum Schluss, die vom Beschwerdeführer geltend gemachte Minderjährigkeit habe er nicht glaubhaft machen können noch lägen entschuldbare Gründe dafür vor, dass er sein Alter nicht durch rechtsgenügliche Identitätspapiere belegt habe. In Würdigung der gesamten Umstände sei von der Volljährigkeit des Beschwerdeführers auszugehen. Auch hielten seien Vorbringen den Anforderungen an das Glaubhaftmachen gemäss Art. 7 AsylG nicht stand. Namentlich lege er die geltend gemachten Geschehnisse in wesentlichen Punkten nicht hinreichend konkret und differenziert dar. Auch erschienen seine Vorbringen in mehrfacher Hinsicht realitätsfremd. Er erfülle demzufolge die Flüchtlingseigenschaft nicht, so dass sein Asylgesuch abzulehnen sei.</w:t>
      </w:r>
    </w:p>
    <w:p>
      <w:r>
        <w:rPr>
          <w:b/>
        </w:rPr>
        <w:t>E. 4.2</w:t>
      </w:r>
    </w:p>
    <w:p>
      <w:r>
        <w:t>Der Beschwerdeführer bringt dagegen im Wesentlichen vor, die Vorinstanz habe ihn zu Unrecht im Asylverfahren als volljährig behandelt. Sein angegebenes Alter sei glaubhaft und die von der Vorinstanz aufgezeigten Widersprüche träfen ins Leere. Es hätte ihm somit zwingend ein Rechtsbeistand bestellt werden müssen. Seine Verfahrensrechte seien verletzt worden. Sowohl der Reiseweg als auch die Asylgründe seien ebenfalls glaubhaft vorgebracht worden und asylrelevant im Sinne von Art. 3 AsylG, weshalb er die Flüchtlingseigenschaft erfülle. Es seien keine gravierenden Widersprüche in den Akten zu finden.</w:t>
      </w:r>
    </w:p>
    <w:p>
      <w:r>
        <w:rPr>
          <w:b/>
        </w:rPr>
        <w:t>E. 5</w:t>
      </w:r>
    </w:p>
    <w:p>
      <w:r>
        <w:t>Der Beschwerdeführer macht geltend, minderjährig zu sein, weshalb vorderhand zu prüfen ist, ob die Vorinstanz dessen Verfahrensrechte verletzte, indem sie ihn für das Asylverfahren als volljährig behandelte. Dem Beschwerdeführer wurde mit Zwischenverfügung vom 22. Mai 2014 antragsgemäss eine dreissigtätige Frist gewährt, um seine in der Anhörung und in der Beschwerde mehrfach erwähnte Geburtsurkunde zu beschaffen. Die Frist liess er ungenutzt verstreichen. In Anbetracht dessen, dass er bereits vor der Vorinstanz keine beziehungsweise sehr vage Angaben zu seiner Identität gemacht hat, liegt eine Verletzung der Mitwirkungspflicht gemäss Art. 8 AsylG vor. Wohl kann nicht bereits aufgrund seiner Aussagen im Rahmen der Gewährung des rechtlichen Gehörs zu seinem Alter (BFM-Akten, A4/14 S. 4 f.) auf die Unglaubhaftigkeit seines geltend gemachten Geburtsdatums geschlossen werden, hingegen macht der Beschwerdeführer widersprüchliche beziehungsweise unglaubhafte Aussagen zu seiner Identität. So zeigte die Vorinstanz zu Recht auf, dass der Beschwerdeführer zum einen vorbringt, auf seiner Geburtsurkunde stehe sein Name (BFM-Akten, A7/12 F20), zum anderen jedoch behauptet, das Kinderheim respektive die Kinder dort hätten ihm den jetzigen Namen gegeben (BFM-Akten, A7/12 F23 und F26). Auch verweigert er ohne plausible Gründe den Namen des Kinderheimes zu nennen (BFM-Akten, A7/12 F13 f.). Hinzu kommt, dass es - wie die Vorinstanz richtig ausführt - realitätsfremd erscheint, wenn er als Beifahrer ohne Reisepass von Armenien bis in die Schweiz gefahren sein soll und sich den strengen Grenzkontrollen der Nicht-Schengen-Staaten respektive an der Schengen-Aussengrenze entziehen habe können, in dem er sich im Kofferraum versteckt habe (BFM-Akten, A4/15 S. 7). In Berücksichtigung all dieser Faktoren hat die Vorinstanz kein Bundesrecht verletzt, wenn sie mangels Glaubhaftigkeit und wegen Verletzung der Mitwirkungspflicht den Beschwerdeführer für das Asylverfahren als Volljähriger einstufte und ihm keine Vertrauensperson zur Seite stellte.</w:t>
      </w:r>
    </w:p>
    <w:p>
      <w:r>
        <w:rPr>
          <w:b/>
        </w:rPr>
        <w:t>E. 6</w:t>
      </w:r>
    </w:p>
    <w:p>
      <w:r>
        <w:t>Hinsichtlich der Asylrelevanz der Vorbringen des Beschwerdeführers ist mit der Vorinstanz einig zu gehen, dass keine glaubhaft gemachten Verfolgungsgründe vorliegen. So bringt der Beschwerdeführer nicht substanziiert vor, was ihm bei einem Verbleib in Armenien genau drohen würde. Er macht zwar geltend, dass er in das LSA eingezogen würde, weil sowohl sein Trainer, sein Erzieher wie auch sein Russisch-Lehrer für diese Behörde arbeiteten, allerdings will er aus Angst deren Namen nicht nennen (BFM-Akten, A7/12 F47 ff.). Ihm scheint auch nicht klar zu sein, was genau seine Funktion beim LSA überhaupt sein würde, führte er doch aus, er müsste dort später als Beamter arbeiten, genaueres sei ihm nicht verraten worden (BFM-Akten, A7/12 F77). Er wolle einfach etwas anderes machen und sein Privatleben selber in die Hand nehmen (BFM-Akten, A7/12 F78). Auch wich der Beschwerdeführer wiederholt aus, als er gefragt wurde, welche Konsequenzen er hätte befürchten müssen, falls er sich den Forderungen widersetzt hätte (BFM-Akten, A7/12 F80 und F81). Seine einzige konkret geäusserte Angst war, dass er instrumentalisiert werde und kein Privatleben hätte führen können (BFM-Akten, A4/15 S. 10). Weitere Probleme in Armenien habe er nicht gehabt (BFM-Akten, A7/12 F56/57). Mangels konkreter und differenzierter Darlegung der Geschehnisse in wesentlichen Punkten hat die Vorinstanz kein Bundesrecht verletzt, indem sie die Asylvorbringen als unglaubhaft qualifiziert hat. Damit durfte sie entgegen den Vorbringen des Beschwerdeführers von einer Prüfung der Asylrelevanz absehen. Dennoch sei angemerkt, dass anhand der Vorbringen des Beschwerdeführers selbst bei Glaubhaftigkeit der Aussagen kein asylrechtlich relevanten Nachteile im Sinne von Art. 3 AsylG ersichtlich sind, wie im Übrigen der Beschwerdeführer selbst ausführt (Beschwerde vom 18. Mai 2014 Rz. 17). Was die geltend gemachte sexuelle Belästigung in der Schweiz durch B._______ beziehungsweise dessen Kollegen betrifft, ist dies nicht asylrechtlich relevant, sondern allenfalls strafrechtlich von Bedeutung. Hierfür zuständig sind die Strafbehörden.</w:t>
      </w:r>
    </w:p>
    <w:p>
      <w:r>
        <w:rPr>
          <w:b/>
        </w:rPr>
        <w:t>E. 7</w:t>
      </w:r>
    </w:p>
    <w:p>
      <w:r>
        <w:t>Gemäss Art. 44 AsylG verfügt das Bundesamt in der Regel die Wegweisung aus der Schweiz und ordnet den Vollzug an, wenn es das Asylgesuch ablehnt oder darauf nicht eintritt; es berücksichtigt dabei den Grundsatz der Einheit der Familie. Der Beschwerdeführer verfügt weder über eine ausländerrechtliche Aufenthaltsbewilligung noch über einen Anspruch auf Erteilung einer solchen (vgl. BVGE 2009/50 E. 9). Die Wegweisung ist nicht zu beanstanden.</w:t>
      </w:r>
    </w:p>
    <w:p>
      <w:r>
        <w:rPr>
          <w:b/>
        </w:rPr>
        <w:t>E. 8.1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8.2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EMRK; Art. 3 des Übereinkommens vom 10. Dezember 1984 gegen Folter und andere grausame, unmenschliche oder erniedrigende Behandlung oder Strafe [FoK, SR 0.105]). Weder aus den Aussagen des Beschwerdeführers noch aus den Akten ergeben sich konkrete Anhaltspunkte dafür, dass er für den Fall einer Ausschaffung nach Armenien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8.3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Armenien herrscht im heutigen Zeitpunkt keine Situation allgemeiner Gewalt, weshalb der Wegweisungsvollzug grundsätzlich als zumutbar zu bezeichnen ist. Auch sprechen keine individuellen Gründe gegen den Vollzug der Wegweisung. Es handelt sich beim Beschwerdeführer um einen gesunden jungen Mann, der über knapp zehn Jahre Schulbildung verfügt und auch gemäss eigenen Angaben ein wenig Russisch spricht (BFM-Akten, A4/15 S. 4 und 5).</w:t>
      </w:r>
    </w:p>
    <w:p>
      <w:r>
        <w:rPr>
          <w:b/>
        </w:rPr>
        <w:t>E. 8.4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In Ablehnung des Gesuchs um unentgeltliche Rechtspflege wegen Aussichtslosigkeit der Begehren (Art. 65 Abs. 1 und 2 VwVG) sind die Kosten des vorliegenden Verfahrens dem Beschwerdeführer aufzuerlegen (Art. 63 Abs. 1 und 5 VwVG) und auf insgesamt Fr. 600.- festzusetzen (Art. 1 - 3 des Reglements vom 21. Februar 2008 über die Kosten und Entschädigungen vor dem Bundesverwaltungsgericht [VGKE, SR 173.320.2]). Das Gesuch um Verzicht auf Erhebung eines Kostenvorschusses ist mit dem vorliegenden Urteil gegenstandslos geworden, genauso wie die weiteren prozessualen Anträge.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