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E-2673/2015 vom 1. Juni 2015</w:t>
      </w:r>
    </w:p>
    <w:p>
      <w:r>
        <w:t>Bundesverwaltungsgericht, 2015-06-01, DE</w:t>
      </w:r>
    </w:p>
    <w:p>
      <w:r>
        <w:rPr>
          <w:b/>
        </w:rPr>
        <w:t xml:space="preserve">Quelle: </w:t>
      </w:r>
      <w:r>
        <w:t>https://mcp.opencaselaw.ch/entscheid/bvger_E-2673_2015</w:t>
      </w:r>
    </w:p>
    <w:p>
      <w:r>
        <w:t>FR: TAF E-2673/2015 du 1 juin 2015</w:t>
      </w:r>
    </w:p>
    <w:p>
      <w:r>
        <w:t>IT: TAF E-2673/2015 del 1 giugno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 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zur Beschwerdeführung legitimiert (Art. 48 VwVG; BVGE 2014/1 E. 1.3.2).</w:t>
      </w:r>
    </w:p>
    <w:p>
      <w:r>
        <w:rPr>
          <w:b/>
        </w:rPr>
        <w:t>E. 1.3</w:t>
      </w:r>
    </w:p>
    <w:p>
      <w:r>
        <w:t>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4.1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Der Untersuchungsgrundsatz umfasst auch die Beweisführungslast (Beweisführungspflicht). Das SEM ist deshalb verpflichtet, nicht nur zu denjenigen Sachverhaltselementen Beweis zu führen, welche die asylsuchende Person belasten, sondern auch zu denjenigen Elementen, welche sie begünstigen. Das Staatsssekretariat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Krauskopf/ Emmeneg­ger, in: Praxiskommentar VwVG, Waldmann/Weissen­ber­ger [Hrsg.], Zürich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4.2</w:t>
      </w:r>
    </w:p>
    <w:p>
      <w:r>
        <w:t>Die Parteien haben zudem ein aus dem Anspruch auf rechtliches Gehör fliessendes Recht, an der Erstellung des Sachverhaltes mitzuwirken (Art. 29 Abs. 2 BV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ihren Entscheid zu begründen (Art. 35 Abs. 1 VwVG).</w:t>
      </w:r>
    </w:p>
    <w:p>
      <w:r>
        <w:rPr>
          <w:b/>
        </w:rPr>
        <w:t>E. 5.1</w:t>
      </w:r>
    </w:p>
    <w:p>
      <w:r>
        <w:t>In der Einsprache vom 20. Februar 2015 wurde explizit auf gesundheitliche Probleme der Gesuchstellenden sowie auf ihre Rückkehr nach Syrien hingewiesen. In den vorinstanzlichen Akten befinden sich ärztliche Berichte samt Übersetzungen.</w:t>
      </w:r>
    </w:p>
    <w:p>
      <w:r>
        <w:rPr>
          <w:b/>
        </w:rPr>
        <w:t>E. 5.2</w:t>
      </w:r>
    </w:p>
    <w:p>
      <w:r>
        <w:t>Diese Vorbringen und Beweismittel, bei welchen es sich um wesentliche Sachverhaltselemente handelt, fanden in der angefochtenen Ver­fügung vom 15. April 2015 keine Erwähnung. Die Vor­in­stanz setzte sich in keiner Weise mit der individuellen Situation der Gesuchstellenden auseinander; stattdessen erschöpft sich die Begründung im Wesentlichen in einer Aneinanderreihung standardisierter Sätze ohne einzelfallspezifischen Bezug. Zu Recht hat der Beschwerdeführer gerügt, dass ihm mit dem nicht näher spezifizierten Verweis auf "die länderspezifischen Abklärungen" - wobei unklar bleibt, ob diese sich auf die Situation in Syrien oder in der Türkei beziehen (vgl. angefochtene Verfügung S. 2) eine sachgerechte Anfechtung verunmöglicht wird. Wie die Vorinstanz zu der Auffassung gelangt, dass im Falle der Gesuchstellenden eine ernsthafte Gefährdung an Leib und Leben, welche die Erteilung eines Visums aus humanitären Gründen rechtfertigen würde, nicht vorliegt, lässt sich anhand der Erwägungen in der angefochtenen Verfügung nicht nachvollziehen. Dem Einspracheentscheid ist nicht einmal zu entnehmen, ob das SEM davon ausgeht, die Gesuchstellenden würden sich noch in der Türkei oder bereits wieder in Syrien aufhalten. In der Vernehmlassung wurde zur Rüge der Verletzung des rechtlichen Gehörs nicht Stellung genommen, womit sich auch die Frage einer Heilung nicht stellen kann.</w:t>
      </w:r>
    </w:p>
    <w:p>
      <w:r>
        <w:rPr>
          <w:b/>
        </w:rPr>
        <w:t>E. 5.3</w:t>
      </w:r>
    </w:p>
    <w:p>
      <w:r>
        <w:t>Die vorinstanzliche Verfügung verletzt somit die Begründungspflicht im Sinne von Art. 35 Abs. 1 VwVG und beruht auf einem nicht vollständig abgeklärten Sachverhalt.</w:t>
      </w:r>
    </w:p>
    <w:p>
      <w:r>
        <w:rPr>
          <w:b/>
        </w:rPr>
        <w:t>E. 6.1</w:t>
      </w:r>
    </w:p>
    <w:p>
      <w:r>
        <w:t>Die Beschwerde ist nach dem Gesagten insoweit gutzuheissen als die angefochtene Verfügung aufzuheben und die Sache zu neuer Entscheidung an die Vorinstanz zurückzuweisen ist.</w:t>
      </w:r>
    </w:p>
    <w:p>
      <w:r>
        <w:rPr>
          <w:b/>
        </w:rPr>
        <w:t>E. 6.2</w:t>
      </w:r>
    </w:p>
    <w:p>
      <w:r>
        <w:t>Das SEM wird im Rahmen der Neubeurteilung den derzeitigen Aufenthaltsort der Gesuchstellenden und ihre dortige Situation festzustellen haben. Ferner wird abzuklären sein, ob eine adäquate Behandlung der geltend gemachten und dokumentierten gesundheitlichen Beschwerden der Gesuchstellenden am Aufenthaltsort gewährleistet ist. Gestützt darauf wird geprüft werden müssen, ob aufgrund der konkreten Situation der Gesuchstellenden offensichtlich davon ausgegangen werden muss, dass sie im Heimat- oder Herkunftsstaat - oder allenfalls in dem Drittstaat, wo sie sich aufhalten unmittelbar, ernsthaft und konkret an Leib und Leben gefährdet sind, mithin, ob sie sich in einer besonderen Notsituation befinden, die ein behördliches Eingreifen zwingend erforderlich macht und gemäss der Weisung vom 28. September 2012 die Erteilung eines Einreisevisums aus humanitären Gründen rechtfertigt.</w:t>
      </w:r>
    </w:p>
    <w:p>
      <w:r>
        <w:rPr>
          <w:b/>
        </w:rPr>
        <w:t>E. 6.3</w:t>
      </w:r>
    </w:p>
    <w:p>
      <w:r>
        <w:t>Auf die weiteren Vorbringen in der Beschwerde und der Replik ist bei diesem Verfahrensausgang nicht mehr einzugehen.</w:t>
      </w:r>
    </w:p>
    <w:p>
      <w:r>
        <w:rPr>
          <w:b/>
        </w:rPr>
        <w:t>E. 7.1</w:t>
      </w:r>
    </w:p>
    <w:p>
      <w:r>
        <w:t>Bei diesem Ausgang des Verfahrens sind keine Kosten zu erheben (Art. 63 Abs. 1).</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womit der notwendige Vertretungsaufwand aufgrund der Akten zu bestimmen ist (Art. 14 Abs. 2 in fine VGKE). Gestützt auf die in Betracht zu ziehenden Bemessungsfaktoren (Art. 9-13 VGKE) ist dem Beschwerde­führer zulasten der Vorinstanz eine Parteientschädigung von insgesamt Fr. 1'300.- (inkl. Auslagen und Mehrwertsteuer) zuzusprechen.</w:t>
      </w:r>
    </w:p>
    <w:p>
      <w:r>
        <w:rPr>
          <w:b/>
        </w:rPr>
        <w:t>E. 7.3</w:t>
      </w:r>
    </w:p>
    <w:p>
      <w:r>
        <w:t>Die Gesuche um Gewährung der unentgeltlichen Prozessführung und Verbeiständung (Art. 65 Abs. 1 und 2 VwVG) werden bei diesem Verfahrensgang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