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E-2663/2014 vom 9. Juni 2015</w:t>
      </w:r>
    </w:p>
    <w:p>
      <w:r>
        <w:t>Bundesverwaltungsgericht, 2015-06-09, DE</w:t>
      </w:r>
    </w:p>
    <w:p>
      <w:r>
        <w:rPr>
          <w:b/>
        </w:rPr>
        <w:t xml:space="preserve">Quelle: </w:t>
      </w:r>
      <w:r>
        <w:t>https://mcp.opencaselaw.ch/entscheid/bvger_E-2663_2014</w:t>
      </w:r>
    </w:p>
    <w:p>
      <w:r>
        <w:t>FR: TAF E-2663/2014 du 9 juin 2015</w:t>
      </w:r>
    </w:p>
    <w:p>
      <w:r>
        <w:t>IT: TAF E-2663/2014 del 9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w:t>
      </w:r>
    </w:p>
    <w:p>
      <w:r>
        <w:rPr>
          <w:b/>
        </w:rPr>
        <w:t>E. 1.2</w:t>
      </w:r>
    </w:p>
    <w:p>
      <w:r>
        <w:t>Parteieingaben in Verfahren vor Bundesbehörden sind in einer Amtssprache - in der Regel Deutsch, Französisch oder Italienisch - abzufassen (Art. 70 Abs. 1 BV und Art. 33a Abs. 1 VwVG). Die Eingabe der Beschwerdeführer ist auf Englisch abgefasst. Auf die Ansetzung einer Frist zur Beschwerdeverbesserung ist zu verzichten, da der in Englisch verfassten Beschwerdeeingabe genügend klare Rechtsbegehren und eine verständliche Begründung zu entnehmen sind und somit ohne weiteres darüber befunden werden kann.</w:t>
      </w:r>
    </w:p>
    <w:p>
      <w:r>
        <w:rPr>
          <w:b/>
        </w:rPr>
        <w:t>E. 1.3</w:t>
      </w:r>
    </w:p>
    <w:p>
      <w:r>
        <w:t>Auf die im Weiteren fristgerecht eingereichte Beschwerde ist somit einzutreten. Gestützt auf Art. 33a Abs. 2 VwVG i.V.m. Art. 6 AsylG ergeht der vorliegende Entscheid in deutscher Sprache.</w:t>
      </w:r>
    </w:p>
    <w:p>
      <w:r>
        <w:rPr>
          <w:b/>
        </w:rPr>
        <w:t>E. 1.4</w:t>
      </w:r>
    </w:p>
    <w:p>
      <w:r>
        <w:t>Im Asylbereich richten sich die Kognition und Rügemöglichkeiten nach Art. 106 Abs. 1 AsylG; (zur Frage der Auswirkung der Streichung von Art. 106 Abs.1 Bst. a aAsylG [Beschwerdegrund der Unangemessenheit] auf das Beschwerdeverfahren in Ausland-Asylverfahren, vgl. Urteil des Bundesverwaltungsgerichts D-103/2014 vom 21. Januar 2015, E. 4 ff. [zur Publikation vorgesehen]).</w:t>
      </w:r>
    </w:p>
    <w:p>
      <w:r>
        <w:rPr>
          <w:b/>
        </w:rPr>
        <w:t>E. 1.5</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 am 28. September 2012 gültigen Fassung des Asylgesetzes gelten (Übergangsbestimmung zur Änderung vom 28. September 2012; AS 2012 5359).</w:t>
      </w:r>
    </w:p>
    <w:p>
      <w:r>
        <w:rPr>
          <w:b/>
        </w:rPr>
        <w:t>E. 3.1</w:t>
      </w:r>
    </w:p>
    <w:p>
      <w:r>
        <w:t>Ein Asylgesuch kann gemäss aArt. 19 Abs. 1 AsylG im Ausland bei einer schweizerischen Vertretung gestellt werden, die es mit einem Bericht an das Bundesamt überweist (aArt. 20 Abs. 1 AsylG). Praxisgemäss kann das Asylgesuch aus dem Ausland anstatt bei einer schweizerischen Vertretung vor Ort auch direkt bei der Vorinstanz gestellt werden.</w:t>
      </w:r>
    </w:p>
    <w:p>
      <w:r>
        <w:rPr>
          <w:b/>
        </w:rPr>
        <w:t>E. 3.2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w:t>
      </w:r>
    </w:p>
    <w:p>
      <w:r>
        <w:t>Die Vorinstanz stellte in der angefochtenen Verfügung im Wesentlichen fest, dass gestützt auf die Aktenlage die Gefährdungssituation abschliessend habe beurteilt werden können. Sie verneinte eine Verfolgung oder akute Gefährdung der Beschwerdeführer. Was die Beschwerdeführer dagegen vorbringen, ist nicht geeignet, die vorinstanzlichen Erwägungen umzustossen. Im Wesentlichen bestehen ihre Ausführungen unter Hinweis auf die Verwandtschaft zum Wanni-Arzt lediglich aus der Behauptung, sie würden weiterhin regelmässig durch Vertreter des CID (und evtl. der Armee) verhört und seien somit nicht in der Lage, in Sri Lanka unbehelligt zu leben. Diese Argumente sind indessen bloss Wiederholungen bereits im vorinstanzlichen Verfahren geltend gemachter Vorbringen, ohne sich substanziell mit der Argumentation in der angefochtenen Verfügung auseinanderzusetzen. Ausserdem sind seit Mai 2014 keine weiteren Massnahmen der Armee oder des CID gegenüber den Beschwerdeführern aktenkundig geworden. Da sich der Beschwerdeführer seinen Angaben zufolge jahrelang im Einflussgebiet der LTTE aufgehalten hatte, dort als (...) arbeitete und offensichtlich in seinem nahen Umfeld Personen kannte, die wichtige Rollen im Bürgerkrieg spielten, besteht aus Sicht der sri-lankischen Behörden offenbar genügend Grund, ihn wiederholt zu neuen Erkenntnissen zu befragen, was grundsätzlich legitim ist. Soweit die Beschwerdeführer angeben, in Sri Lanka deshalb weiterhin unangenehmen Massnahmen seitens der Sicherheitskräfte ausgesetzt zu sein, ist ihnen entgegenzuhalten, dass es ihnen im heutigen Umfeld durchaus zuzumuten ist, sich gegen rechtwidrige Handlungen seitens ihrer Befrager auf dem Rechtsweg zur Wehr zu setzen. Die von ihnen beschriebenen, seit 2009 andauernden, sporadischen Hausbesuche und Befragungen sowie die damit verbundenen Beeinträchtigungen stellen aber per sei keine ernsthaften Nachteile im Sinne des Asylgesetzes dar. Diese Massnahmen scheinen vielmehr darauf gerichtet, nach den jahrzehntelangen heftigen Kriegswirren ein Wiedererstarken oder Neuaufleben der LTTE gezielt zu verhindern, frühere Beziehungsnetze zur LTTE aufzudecken und ehemalige Führungspersönlichkeiten zu entlarven. Im Übrigen geht aus den Angaben der Beschwerdeführer nicht hervor, dass die Behörden der Familie die Bewegungsfreiheit oder andere Rechte eingeschränkt hätten, weshalb sie allenfalls lokal oder regional bedingten Problemen mit Sicherheitskräften durch eine Wohnsitzverlegung innerstaatlich ausweichen könnten. Seit Eingang der Beschwerdeschrift sind allerdings keine neuen Erkenntnisse im Zusammenhang mit Massnahmen oder Übergriffen des CID (oder der Armee) aktenkundig geworden. Es besteht somit kein Grund davon auszugehen, dass die Beschwerdeführer im heutigen Zeitpunkt seitens des CID (oder der Armee) akut gefährdet sind. Hinsichtlich der Lebensumstände in Sri Lanka (s. Vorakten) ist davon auszugehen, dass die Situation nach dem Ende des Bürgerkriegs (Mai 2009) für jeden Staatsangehörigen nicht einfach ist, was aber nicht gegen die Zumutbarkeit eines weiteren Verbleibs der Beschwerdeführer, die über Vermögen, Arbeit, Einkommen sowie einen grösseren Verwandten- und Bekanntenkreis verfügen, in Sri Lanka spricht. Eine schwierige Lebenssituation und entsprechende humanitäre Überlegungen stellen keinen erheblichen Grund für eine Bewilligung der Einreise dar. Die Beschwerdeführer vermögen somit nicht nachvollziehbar aufzuzeigen, inwiefern ihre Furcht vor schweren Nachteilen bei ihrem weiteren Verbleib in Sri Lanka konkret begründet wäre. Schliesslich ist festzustellen, dass keine Anknüpfungspunkte zur Schweiz bestehen. Folglich ist ihnen der weitere Aufenthalt in Sri Lanka (oder in einem der Nachbarstaaten Sri Lankas) zumutbar. Aus den eingereichten Dokumenten geht kein anderer Schluss hervor. Demzufolge ist mit der Vorinstanz einig zu gehen, dass die Beschwerdeführer den Schutz der Schweiz nicht benötigen. Die Vorinstanz hat ihnen zu Recht die Einreise in die Schweiz verweigert und ihre Asylgesuche abgelehnt.</w:t>
      </w:r>
    </w:p>
    <w:p>
      <w:r>
        <w:rPr>
          <w:b/>
        </w:rPr>
        <w:t>E. 5</w:t>
      </w:r>
    </w:p>
    <w:p>
      <w:r>
        <w:t>Aus diesen Erwägungen ergibt sich, dass die angefochtene Verfügung Bundesrecht nicht verletzt und auch sonst nicht zu beanstanden ist (Art. 106 Abs. 1 AsylG). Die Beschwerde ist abzuweisen.</w:t>
      </w:r>
    </w:p>
    <w:p>
      <w:r>
        <w:rPr>
          <w:b/>
        </w:rPr>
        <w:t>E. 6</w:t>
      </w:r>
    </w:p>
    <w:p>
      <w:r>
        <w:t>Bei diesem Ausgang des Verfahrens wären die Kosten grundsätzlich den Beschwerdeführern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