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E-2663/2012 vom 23. Oktober 2012</w:t>
      </w:r>
    </w:p>
    <w:p>
      <w:r>
        <w:t>Bundesverwaltungsgericht, 2012-10-23, FR</w:t>
      </w:r>
    </w:p>
    <w:p>
      <w:r>
        <w:rPr>
          <w:b/>
        </w:rPr>
        <w:t xml:space="preserve">Quelle: </w:t>
      </w:r>
      <w:r>
        <w:t>https://mcp.opencaselaw.ch/entscheid/bvger_E-2663_2012</w:t>
      </w:r>
    </w:p>
    <w:p>
      <w:r>
        <w:t>FR: TAF E-2663/2012 du 23 octobre 2012</w:t>
      </w:r>
    </w:p>
    <w:p>
      <w:r>
        <w:t>IT: TAF E-2663/2012 del 23 ottobre 2012</w:t>
      </w:r>
    </w:p>
    <w:p>
      <w:pPr>
        <w:pStyle w:val="Heading2"/>
      </w:pPr>
      <w:r>
        <w:t>Regeste</w:t>
      </w:r>
    </w:p>
    <w:p>
      <w:r>
        <w:t>Asile et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w:t>
      </w:r>
    </w:p>
    <w:p>
      <w:r>
        <w:t>L'ODM peut percevoir du requérant qui a déposé une demande de réexamen une avance de frais équivalant aux frais de procédure présumés. Il lui impartit un délai raisonnable en l'avertissant qu'à défaut de paiement il n'entrera pas en matière. Il renonce à percevoir l'avance de frais: si le requérant est indigent et que sa demande n'apparaît pas d'emblée vouée à l'échec (art. 17b al. 2 et 3 LAsi).</w:t>
      </w:r>
    </w:p>
    <w:p>
      <w:r>
        <w:rPr>
          <w:b/>
        </w:rPr>
        <w:t>E. 3.1</w:t>
      </w:r>
    </w:p>
    <w:p>
      <w:r>
        <w:t>En l'occurrence, la question qui se pose est celle l'absence de chances de succès de la demande de réexamen, seconde condition (avec l'indigence, non contestée) à l'exigibilité d'une avance de frais (cf. art. 17b al. 2 et 3 LAsi).</w:t>
      </w:r>
    </w:p>
    <w:p>
      <w:r>
        <w:rPr>
          <w:b/>
        </w:rPr>
        <w:t>E. 3.2</w:t>
      </w:r>
    </w:p>
    <w:p>
      <w:r>
        <w:t>Ces dispositions prévoient certes que l'ODM peut demander une avance de frais en cas de dépôt d'une demande de réexamen, faute de quoi l'autorité de première instance "n'entrera pas en matière". Cependant, la situation de droit résultant de leur application ne doit pas être confondue avec celle visées par les art. 32-35a LAsi : en effet, dans la première hypothèse, il ne s'agit pas à proprement parler d'un refus de l'autorité d'entrer en matière sur la demande (ce qui supposerait un examen, même sommaire, de la valeur des motifs invoqués), mais bien plutôt du constat de l'irrecevabilité de celle-ci, faute d'une condition formelle, à savoir le paiement de l'avance de frais.</w:t>
      </w:r>
    </w:p>
    <w:p>
      <w:r>
        <w:rPr>
          <w:b/>
        </w:rPr>
        <w:t>E. 3.3</w:t>
      </w:r>
    </w:p>
    <w:p>
      <w:r>
        <w:t>Dans le cas d'espèce, il apparaît douteux que l'exécution du transfert soit illicite, spécialement au regard de l'art. 3 de la convention du 4 novembre 1950 de sauvegarde des droits de l'homme et des libertés fondamentales (CEDH, RS 0.101). En effet, le refoulement forcé d'une personne atteinte dans sa santé n'est susceptible de constituer une violation de l'art. 3 CEDH que si l'intéressé se trouve dans un stade de sa maladie avancé et terminal, au point que sa mort apparaît comme une perspective proche (cf. arrêt de la Cour européenne des droits de l'homme "N. contre Royaume-Uni", du 27 mai 2008, requête n° 26565/05). Or le recourant ne se trouve pas dans une telle situation ; il n'est touché que par des troubles psychiques, et le risque suicidaire qu'il présente n'a pas donné de signe de concrétisation. Le point de savoir si l'exécution du transfert serait licite d'une manière manifeste, ce qui justifierait la perception d'une avance de frais, peut cependant rester indécis, vu les développements qui suivent (cf. aussi à ce sujet ATAF 2011/9 consid. 7 p. 117-120).</w:t>
      </w:r>
    </w:p>
    <w:p>
      <w:r>
        <w:rPr>
          <w:b/>
        </w:rPr>
        <w:t>E. 3.4</w:t>
      </w:r>
    </w:p>
    <w:p>
      <w:r>
        <w:t>En effet, la question d'une éventuelle application de la clause de souveraineté prévue à l'art. 3 par. 2 du règlement Dublin II, concrétisée en droit suisse à l'art. 29a al. 3 de l'ordonnance 1 du 11 août 1999 sur l'asile relative à la procédure (OA 1, RS 142.311), est susceptible de se poser sous un jour différent. Il s'agit, comme l'ODM l'a plusieurs fois rappelé en cours de procédure, d'une disposition potestative, qui ne confère aucun droit particulier au requérant ; il peut cependant faire valoir une violation du droit international, ou du droit interne dans la mesure où il prévoit la prise en considération de raisons humanitaires s'opposant au transfert (cf. ATAF 2010/45 consid. 5 p. 635-636). Sa nature potestative confère une grande marge d'appréciation à l'autorité, qui est fondée à en faire un usage restrictif, les Etats membres de l'Accord Dublin II étant présumés permettre l'accès aux soins médicaux indispensables (cf. ATAF 2010/45 consid. 8.2 p. 642-644). Il n'en reste pas moins que l'autorité d'asile ne peut réduire la portée de la clause de souveraineté, ou l'appliquer de manière arbitraire.</w:t>
      </w:r>
    </w:p>
    <w:p>
      <w:r>
        <w:rPr>
          <w:b/>
        </w:rPr>
        <w:t>E. 3.5</w:t>
      </w:r>
    </w:p>
    <w:p>
      <w:r>
        <w:t>Dans le cas d'espèce, les troubles psychiques graves, traversés de phases aiguës, dont souffre le recourant, nécessitent un encadrement constant et un accès immédiat à une prise en charge, dont il n'est pas totalement certain qu'il puisse bénéficier en Italie dans des conditions correctes. Certes, l'Italie est présumée respecter les engagements de droit international public qu'elle a souscrit, dont la CEDH, la Convention du 28 juillet 1951 relative au statut des réfugiés (Conv. réf., RS 0.142.30) et la Convention du 10 décembre 1984 contre la torture et autres peines ou traitements cruels, inhumains ou dégradants (Conv. torture, RS 0.105) (cf. ATAF 2010/45 consid. 7.6.4 p. 640-641). Si l'intéressé ne peut renverser cette présomption, l'application de la clause de souveraineté est exclue, et le recours manifestement dénué de chances de succès (cf. arrêt de la Cour européenne des droits de l'homme M.S.S. c. Belgique et Grèce [requête n° 30696/09] du 21 janvier 2011, par. 84-85 et 250 ; cf. égale-ment arrêt de la Cour de justice de l'Union européenne [CJUE] dans les affaires jointes C-411/10 et C-493/10 du 21 décembre 2011). A ce stade de la procédure, le Tribunal ne doit cependant pas décider du caractère applicable de dite clause, mais uniquement de la nature, manifestement infondée ou non, de la demande de réexamen. Or, dans certaines régions de l'Italie, des difficultés ont pu surgir dans la prise en charge des requérants, qui plus est atteints de pathologies lourdes. Il apparaît en outre que l'intéressé se trouve en traitement en Suisse depuis septembre 2011, et a subi trois hospitalisations en urgence ; il ne peut donc être exclu que l'interruption du traitement lui soit sérieusement préjudiciable (cf. ATAF 2011/9 consid. 8.3 p. 122). En outre, il ressort du dossier que l'intéressé, après son premier transfert en Italie (15 mars 2011), n'y a pas bénéficié de l'encadrement nécessaire et d'une prise en charge adéquate. De ce qui précède, il ressort donc que l'éventuelle application au recourant de l'art. 29a al. 3 OA1 requiert un examen soigneux. Dès lors, l'ODM n'était pas fondé à écarter de manière sommaire, comme d'emblée vouée à l'échec, la demande de réexamen visant à ce but ; en conséquence, en application de l'art. 17b al. 2 et 3 LAsi, il devait renoncer à la perception d'une avance de frais.</w:t>
      </w:r>
    </w:p>
    <w:p>
      <w:r>
        <w:rPr>
          <w:b/>
        </w:rPr>
        <w:t>E. 4</w:t>
      </w:r>
    </w:p>
    <w:p>
      <w:r>
        <w:t>Dès lors, la décision de l'ODM du 12 avril 2012 est annulée, l'autorité de première instance étant invitée à statuer sur la demande de réexamen.</w:t>
      </w:r>
    </w:p>
    <w:p>
      <w:r>
        <w:rPr>
          <w:b/>
        </w:rPr>
        <w:t>E. 5.1</w:t>
      </w:r>
    </w:p>
    <w:p>
      <w:r>
        <w:t>Compte tenu de l'issue de la procédure, il n'y a pas lieu de percevoir de frais (art. 63 al. 2 PA) ; la requête d'assistance judiciaire partielle est donc sans objet.</w:t>
      </w:r>
    </w:p>
    <w:p>
      <w:r>
        <w:rPr>
          <w:b/>
        </w:rPr>
        <w:t>E. 5.2</w:t>
      </w:r>
    </w:p>
    <w:p>
      <w:r>
        <w:t>Conformément à l'art. 64 al. 1 PA, l'autorité de recours peut allouer, d'office ou sur requête, à la partie ayant entièrement ou partiellement gain de cause, une indemnité pour les frais indispensables et relativement élevés qui lui ont été occasionnés. Le tribunal fixe les dépens sur la base du décompte. A défaut de décompte, le tribunal fixe l'indemnité sur la base du dossier (art. 14 al. 2 du règlement du 21 février 2008 concernant les frais, dépens et indemnités fixés par le Tribunal administratif fédéral [FITAF, RS 173.320.2]).</w:t>
      </w:r>
    </w:p>
    <w:p>
      <w:r>
        <w:rPr>
          <w:b/>
        </w:rPr>
        <w:t>E. 5.3</w:t>
      </w:r>
    </w:p>
    <w:p>
      <w:r>
        <w:t>Dans le cas du recourant, qui a eu entièrement gain de cause, il y a lieu d'attribuer des dépens, dont la quotité sera fixée selon les règles rappelées ci-dessus, compte tenu de ce que la mandataire ne pratique pas la profession d'avocat (art. 10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