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E-2662/2024 vom 18. Mai 2026</w:t>
      </w:r>
    </w:p>
    <w:p>
      <w:r>
        <w:t>Bundesverwaltungsgericht, 2026-05-18, DE</w:t>
      </w:r>
    </w:p>
    <w:p>
      <w:r>
        <w:rPr>
          <w:b/>
        </w:rPr>
        <w:t xml:space="preserve">Quelle: </w:t>
      </w:r>
      <w:r>
        <w:t>https://mcp.opencaselaw.ch/entscheid/bvger_E-2662_2024</w:t>
      </w:r>
    </w:p>
    <w:p>
      <w:r>
        <w:t>FR: TAF E-2662/2024 du 18 mai 2026</w:t>
      </w:r>
    </w:p>
    <w:p>
      <w:r>
        <w:t>IT: TAF E-2662/2024 del 18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(Art. 108 Abs. 2 AsylG und Art. 52 Abs. 1 VwVG). Der Beschwerdeführer ist als Verfügungsadressat zur Einreichung der Beschwerde legitimiert (Art. 48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 wie in der Zwischenverfügung vom 22. Mai 2024 angezeigt - aufgrund des engen sachlichen und persönlichen Zusammenhanges mit dem Verfahren des jüngeren Bruders G._______ (E-2665/2024) koordiniert behandelt. Aufgrund eines Beschwerderückzugs von H._______ (E-2667/2024) wurde dessen Beschwerde mit Entscheid vom 31. März 2026 abgeschrieben und ist entsprechend einer Koordination nicht mehr zugänglich.</w:t>
      </w:r>
    </w:p>
    <w:p>
      <w:r>
        <w:rPr>
          <w:b/>
        </w:rPr>
        <w:t>E. 5.1</w:t>
      </w:r>
    </w:p>
    <w:p>
      <w:r>
        <w:t>Das SEM begründete seinen Asylentscheid mit der mangelnden flüchtlingsrechtlichen Relevanz der geltend gemachten Vorbringen. Die Anerkennung als Flüchtling setze eine aktuelle Bedrohungslage voraus, und ohne das geltend gemachte Ereignis zu verkennen, diene das Asylrecht nicht dazu, in der Vergangenheit erlittenes Unrecht wiedergutzumachen. In der Türkei bestünden wirksame Polizei- und Justizorgane. Aus den Akten gehe hervor, dass im Fall des Beschwerdeführers mehrere Behörden involviert gewesen seien und ihre Aufgaben wahrgenommen hätten. Des Weiteren sei nachvollziehbar, dass sein Vater ihn gerne zu sich in die Schweiz geholt hätte und hierfür mehrere Versuche unternommen habe. Dieser Umstand vermöge jedoch keine flüchtlingsrechtliche relevante Verfolgung von ihm respektive seinen Geschwistern zu begründen. Aus den Akten seiner Familienangehörigen würden sich auch keine Hinweise finden lassen, die eine flüchtlingsrechtlich relevante Verfolgung seiner Person begründeten. Auch seien die Aufenthaltsbewilligungen seiner in der Schweiz lebenden Verwandten nicht durch eine rechtlich relevante Verfolgung in der Türkei, sondern durch Härtefall-Aufenthaltsbewilligungen begründet worden. Dass seine Verwandten seinen Aufenthaltsort ausfindig gemacht und in bedroht hätten, sei nicht geeignet, eine flüchtlingsrechtlich relevante Verfolgung zu begründen. Seine Vorbringen stünden in einem persönlichen, familiären Zusammenhang und würden keinen Kausalzusammenhang mit seiner Ausreise aufweisen sowie nicht auf einem flüchtlingsrechtlich relevanten Motiv beruhen. Bei allfälligen weiteren Übergriffen durch Familienangehörige könne er staatlichen Schutz in Anspruch nehmen. Die Einberufung in den Militärdienst wie auch ein allfälliges militärstrafrechtliches Vorgehen gegen ein Dienstversäumnis stelle schliesslich ebenfalls keine flüchtlingsrechtlich relevante Massnahme im Sinne des Asylgesetzes dar.</w:t>
      </w:r>
    </w:p>
    <w:p>
      <w:r>
        <w:rPr>
          <w:b/>
        </w:rPr>
        <w:t>E. 5.2.1</w:t>
      </w:r>
    </w:p>
    <w:p>
      <w:r>
        <w:t>Der Beschwerdeführer bringt in seinem Rechtsmittel im Wesentlichen vor, die Vorinstanz verkenne, dass die Interventionen der türkischen Behörden nicht geeignet gewesen seien, ihn als damals Minderjährigen wirksam vor weiterem Missbrauch zu schützen. Der Umstand, dass sein Onkel lediglich zu einer Geldstrafe verurteilt worden sei, habe offenkundig nicht ausgereicht, um weitere Übergriffe durch diesen zu verhindern. Zudem habe die Vorinstanz zwar behauptet, er könne als Kurde, der in eine Stammesstreitigkeit involviert sei, tatsächlich auf effektiven staatlichen Schutz zählen; diese Annahme sei aber nicht hinreichend begründet worden. Gemäss Informationen der Schweizerischen Flüchtlingshilfe (SFH) bestünden vielmehr erhebliche Zweifel am Schutzwillen des türkischen Staates bei Stammesstreitigkeiten. Ihm sei daher aufgrund seiner Ethnie sowie des mangelnden Willens der türkischen Behörden, sich in kurdische Stammeskonflikte einzumischen, effektiver staatlicher Schutz verwehrt worden. Schliesslich bleibe auch die Feststellung der Vorinstanz, wonach kein Kausalzusammenhang zwischen den geschilderten Erlebnissen und der Ausreise bestehe, unbelegt und werde argumentativ nicht weiter ausgeführt.</w:t>
      </w:r>
    </w:p>
    <w:p>
      <w:r>
        <w:rPr>
          <w:b/>
        </w:rPr>
        <w:t>E. 5.2.2</w:t>
      </w:r>
    </w:p>
    <w:p>
      <w:r>
        <w:t>Der Vollzug der Wegweisung sei nicht zulässig, da die vom Beschwerdeführer und seinen Geschwistern erlebte Gewalt derart intensiv gewesen sei, dass es sich hierbei um eine grausame, unmenschliche und erniedrigende Behandlung im Sinne von Art. 3 des Übereinkommens vom 10. Dezember 1984 gegen Folter und andere grausame, unmenschliche oder erniedrigende Behandlung oder Strafe ([FoK, SR 0.105) und Art. 3 EMRK handle. Auch sei der Wegweisungsvollzug in die Türkei aus mehreren Gründen unzumutbar, zumal sich der psychische Zustand des Beschwerdeführers mit hoher Wahrscheinlichkeit verschlechtern würde, nicht davon ausgegangen werden könne, dass er sich wirtschaftlich integrieren und er auch nicht auf ein familiäres Netz zurückgreifen könne.</w:t>
      </w:r>
    </w:p>
    <w:p>
      <w:r>
        <w:rPr>
          <w:b/>
        </w:rPr>
        <w:t>E. 5.2.3</w:t>
      </w:r>
    </w:p>
    <w:p>
      <w:r>
        <w:t>In verfahrensrechtlicher Hinsicht rügt der Beschwerdeführer eine Verletzung der Begründungspflicht. Die Vorinstanz habe sein gewalttätiges familiäres Umfeld bei der Prüfung der Wegweisungsvollzugshindernisse nicht miteinbezogen. Durch seine Aussagen in der Anhörung sowie die eingereichten Beweismittel sei belegt, dass er seit seiner Kindheit (sexueller) Gewalt ausgesetzt sei und die Vorinstanz zudem eine allfällige Wiedereingliederung in der Türkei falsch beurteile. Des Weiteren würde sie bei der Beurteilung des Schutzwillens und der Schutzfähigkeit der Türkei aus Urteilen aus den Jahren 2010 und 2018 zitieren und nicht die aktuelle Situation der türkischen Behörden im Zusammenhang mit Opfern von häuslicher Gewalt analysieren.</w:t>
      </w:r>
    </w:p>
    <w:p>
      <w:r>
        <w:rPr>
          <w:b/>
        </w:rPr>
        <w:t>E. 6</w:t>
      </w:r>
    </w:p>
    <w:p>
      <w:r>
        <w:t>Der Beschwerdeführer hat wegen Verletzung der Begründungspflicht die Rückweisung der Sache an die Vorinstanz zu weiteren Sachverhaltsabklärung beantragt. Vor dem Hintergrund der nachfolgenden Erwägungen ist jedoch von einem in entscheidrelevanter Hinsicht bereits hinreichend erstellten Sachverhalt sowie einer umfassend begründeten und sachgerecht angefochtenen Verfügung auszugehen, weshalb das Gericht in der Sache zu entscheiden hat (Art. 61 Abs. 1 VwVG). Folglich rechtfertigt sich eine Rückweisung der Sache an die Vorinstanz zur Neubeurteilung beziehungsweise eingehenderen Begründung nicht. Das Subeventualbegehren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Gericht gelangt nach Prüfung der Akten zum Schluss, dass die Vorinstanz vorliegend die Asylrelevanz der Vorbringen des Beschwerdeführers zu Recht verneint hat. Hierzu ist vollumfänglich auf die vorinstanzliche Verfügung zu verweisen, in welcher überzeugend dargelegt wurde, dass seine geltend gemachten Fluchtgründe den Anforderungen von Art. 3 AsylG für die Anerkennung der Flüchtlingseigenschaft nicht genügen und es insgesamt an der asylrechtlichen Intensität der Verfolgung und der zu erwartenden Nachteile mangelt. Sodann erweist sich die erlebte Gewalt seitens seiner Onkel als ungeeignet, um eine asylrechtlich relevante Verfolgung oder einen unerträglichen psychischen Druck im Sinne des Asylgesetzes zu begründen.</w:t>
      </w:r>
    </w:p>
    <w:p>
      <w:r>
        <w:rPr>
          <w:b/>
        </w:rPr>
        <w:t>E. 8.2</w:t>
      </w:r>
    </w:p>
    <w:p>
      <w:r>
        <w:t>Insofern der Beschwerdeführer geltend macht, durch Familienmitglieder verfolgt zu werden, ist festzuhalten, dass eine Verfolgung durch nichtstaatliche Dritte aufgrund der Subsidiarität des flüchtlingsrechtlichen Schutzes nur dann flüchtlingsrechtlich relevant ist,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individuellen Schutz der von nichtstaatlicher Verfolgung bedrohten Person verlangt werden: Keinem Staat gelingt es, die absolute Sicherheit aller seiner Bürger jederzeit und überall zu garantieren (vgl. BVGE 2008/4 E. 5.2).</w:t>
      </w:r>
    </w:p>
    <w:p>
      <w:r>
        <w:rPr>
          <w:b/>
        </w:rPr>
        <w:t>E. 8.3</w:t>
      </w:r>
    </w:p>
    <w:p>
      <w:r>
        <w:t>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 Verfügung zu stellen (vgl. Urteil des BVGer D-5377/2024 vom 19. November 2024 E. 7.3 m.w.H.). Dass die türkischen Behörden im Fall des Beschwerdeführers aufgrund von Stammesstreitigkeiten nicht schutzwillig oder schutzfähig wären, lässt sich den Akten nicht entnehmen. Vielmehr haben sie die bisherigen Anzeigen entgegengenommen und entsprechende Verfahren eingeleitet, auch liegen gerichtliche Entscheide vor. Das Vorbringen des Beschwerdeführers, die ausgesprochene Geldstrafe habe nicht ausgereicht, um weitere Übergriffe zu verhindern, vermag nicht aufzuzeigen, inwiefern den Behörden Schutzwillen oder Schutzfähigkeit abzusprechen wäre. Dies gilt umso mehr, als die Strafzumessung eine richterliche Einzelfallentscheidung darstellt und daraus keine generelle mangelnde Schutzfähigkeit abgeleitet werden kann. Des Weiteren ist es dem Beschwerdeführer zumutbar, sich bei erneuten Drohungen oder Übergriffen durch Familienmitglieder nach seiner Rückkehr in die Türkei an die zuständigen türkischen Behörden zu wenden, gegebenenfalls unter Beizug einer Rechtsvertretung.</w:t>
      </w:r>
    </w:p>
    <w:p>
      <w:r>
        <w:rPr>
          <w:b/>
        </w:rPr>
        <w:t>E. 8.4</w:t>
      </w:r>
    </w:p>
    <w:p>
      <w:r>
        <w:t>Vollständigkeitshalber ist festzustellen, dass die bekannten und bedauerlichen Schikanen und Diskriminierungen der kurdischen Bevölkerung mangels hinreichender Intensität nicht als ernsthafte Nachteile im Sinne von Art. 3 Abs. 2 AsylG qualifiziert werden können. Für die Annahme einer Kollektivverfolgung gelten praxisgemäss strenge Anforderungen (vgl. BVGE 2014/32 E. 6.1; 2013/12 E. 6), die im Falle der Kurdinnen und Kurden und Personen alevitischen Glaubens in der Türkei nicht erfüllt sind. Diese Einschätzung bleibt trotz der sich seit dem Putschversuch im Jahr 2016 verschlechternden Situation der Menschenrechte in der Türkei gültig (vgl. Referenzurteil des BVGer E-4103/2024 vom 8. November 2024 E. 7.1 m.w.H.; sowie statt vieler BVGer E-11/2025 vom 26. März 2025 E. 6.2).</w:t>
      </w:r>
    </w:p>
    <w:p>
      <w:r>
        <w:rPr>
          <w:b/>
        </w:rPr>
        <w:t>E. 8.5</w:t>
      </w:r>
    </w:p>
    <w:p>
      <w:r>
        <w:t>Insgesamt erweisen sich die Vorbringen des Beschwerdeführers als nicht geeignet, die Einschätzung der Vorinstanz in Frage zu stellen oder Zweifel an der Schutzfähigkeit und dem Schutzwillen des türkischen Staates zu begründen. Die erwähnten Ausführungen der SFH sind dem Gericht bekannt, vermögen die geltende Regelvermutung jedoch nicht zu widerlegen.</w:t>
      </w:r>
    </w:p>
    <w:p>
      <w:r>
        <w:rPr>
          <w:b/>
        </w:rPr>
        <w:t>E. 8.6</w:t>
      </w:r>
    </w:p>
    <w:p>
      <w:r>
        <w:t>Zusammenfassend ist festzuhalten, dass es dem Beschwerdeführer nicht gelungen ist, eine im Sinne von Art. 3 AsylG relevante Verfolgung respektive eine begründete Furcht vor asylrelevanten Nachteilen nachzuweisen. Die Vorinstanz hat das Asylgesuch des Beschwerdeführers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10.3.3</w:t>
      </w:r>
    </w:p>
    <w:p>
      <w:r>
        <w:t>Sodann ergeben sich weder aus den Aussagen des Beschwerdeführers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10.3.4</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In der Türkei herrscht keine Situation allgemeiner Gewalt (vgl. Referenzurteil E-4103/2024 E. 13.2; Urteil des BVGer D-3131/2021 vom 29. Januar 2025 E. 9.4.2). Der Vollzug der Wegweisung der Beschwerdeführenden in die Türkei ist daher als generell zumutbar zu erachten. In individueller Hinsicht ist festzustellen, dass es sich beim Beschwerdeführer um einen heute (...)-jährigen Mann ohne aktenkundige gesundheitliche Probleme handelt. Zwar führte er in der Beschwerde aus, er würde an psychischen Problemen leiden, reichte aber keinerlei ärztliche Berichte ein. Sollten entsprechende Probleme bestehen, ist es ihm bei seiner Rückkehr zuzumuten, bei Bedarf eine psychiatrische Behandlung in Anspruch zu nehmen. Diesbezüglich ist festzuhalten, dass das Bundesverwaltungsgericht grundsätzlich sowohl von einer stationären als auch von einer ambulanten Behandlungsmöglichkeit psychischer Erkrankungen in der Türkei ausgeht. Landesweit existieren psychiatrische Einrichtungen und es stehen ebenso Psychopharmaka zur Verfügung. Insbesondere in türkischen Gross- und Provinzhauptstädten ist der Zugang zu Gesundheitsdiensten und Beratungsstellen sowie Behandlungseinrichtungen für psychische Leiden gewährleistet (vgl. etwa Urteile des BVGer E-4377/2019 vom 8. November 2019 E. 8.4.5.1; E-64/2020 vom 22. Januar 2020 E. 6.3.4; E-4483/2023 vom 19. November 2024 E. 9.3.7). Nötigenfalls steht dem Beschwerdeführer die Möglichkeit offen, die Gewährung medizinischer Rückkehrhilfe zu beantragen (Art. 93 Abs. 1 Bst. d AsylG i.V.m. Art. 75 der Asylverordnung 2 vom 11. August 1999 über Finanzierungsfragen [AsylV 2, SR 142.312]). Des Weiteren verfügt er über mehrere Jahre Schulbildung und konnte erste Arbeitserfahrungen in einer Fabrik sammeln. Auch wird er zusammen mit seinem jüngeren Bruder (Verfahren E-2665-2024) in die Türkei zurückkehren können, zumal dessen Beschwerde gegen den Asylentscheid mit heutigem Datum ebenfalls abgewiesen wurde. Des Weiteren ist dem Zentralen Migrationsinformationssystem zu entnehmen, dass der ältere Cousin I._______ (N [...]) im April 2026 in die Türkei zurückgekehrt ist. Somit können sich die jungen Erwachsenen bei einer Rückkehr jeweils gegenseitig unterstützen. Aufgrund der Aktenlage, seines jungen Alters und der Tatsache, dass er nur für sich selbst aufkommen muss, ist nicht davon auszugehen, er würde bei einer Rückkehr in die Türkei aus individuellen Gründen wirtschaftlicher, sozialer oder gesundheitlicher Natur in eine seine Existenz gefährdende Situation geraten, die als konkrete Gefährdung im Sinne der zu beachtenden Bestimmung zu werten wäre (Art. 83 Abs. 4 AIG).</w:t>
      </w:r>
    </w:p>
    <w:p>
      <w:r>
        <w:rPr>
          <w:b/>
        </w:rPr>
        <w:t>E. 10.4.3</w:t>
      </w:r>
    </w:p>
    <w:p>
      <w:r>
        <w:t>Der Vollzug der Wegweisung erweist sich nach dem Gesagten daher auch als zumutbar.</w:t>
      </w:r>
    </w:p>
    <w:p>
      <w:r>
        <w:rPr>
          <w:b/>
        </w:rPr>
        <w:t>E. 10.5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