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E-2660/2024 vom 25. Juli 2024</w:t>
      </w:r>
    </w:p>
    <w:p>
      <w:r>
        <w:t>Bundesverwaltungsgericht, 2024-07-25, DE</w:t>
      </w:r>
    </w:p>
    <w:p>
      <w:r>
        <w:rPr>
          <w:b/>
        </w:rPr>
        <w:t xml:space="preserve">Quelle: </w:t>
      </w:r>
      <w:r>
        <w:t>https://mcp.opencaselaw.ch/entscheid/bvger_E-2660_2024</w:t>
      </w:r>
    </w:p>
    <w:p>
      <w:r>
        <w:t>FR: TAF E-2660/2024 du 25 juillet 2024</w:t>
      </w:r>
    </w:p>
    <w:p>
      <w:r>
        <w:t>IT: TAF E-2660/2024 del 25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E-2660/2024 Seite 5</w:t>
      </w:r>
    </w:p>
    <w:p>
      <w:r>
        <w:rPr>
          <w:b/>
        </w:rPr>
        <w:t>E. 2</w:t>
      </w:r>
    </w:p>
    <w:p>
      <w:r>
        <w:t>Der Beschwerde kommt von Gesetzes wegen aufschiebende Wirkung zu (Art. 42 AsylG). Entgegen der in der Beschwerde vertretenen Ansicht hat die Vorinstanz der Beschwerde die aufschiebende Wirkung weder explizit noch implizit entzogen. Auf den entsprechenden Eventualantrag auf deren Wiederherstellung ist daher mangels Rechtsschutzinteresses nicht einzu- 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zur Begründung seines Entscheids im Wesentlichen aus, die vom Beschwerdeführer vorgebrachten Festnahmen durch die hei- matlichen Behörden würden nicht eine derartige Intensität aufweisen, dass ein Verbleib in der Türkei verunmöglicht oder unzumutbar erschwert wäre.</w:t>
      </w:r>
    </w:p>
    <w:p>
      <w:r>
        <w:t>E-2660/2024 Seite 6 Dies zeige sich daran, dass der Beschwerdeführer bei den geltend ge- machten Festnahmen jeweils nach kurzer Zeit wieder freigelassen worden sei und er sich nach der letzten Festnahme im Jahre 2018 während rund drei Jahren weiterhin in der Türkei aufgehalten habe. Auch der geschilder- ten Polizeikontrolle anlässlich des HDP-Picknicks einen Monat vor seiner Ausreise fehle es an der flüchtlingsrelevanten Intensität. Ausserdem weise die Tatsache, dass der Beschwerdeführer nach seiner ersten Ausreise im September 2021 freiwillig in seinen Heimatstaat zurückgekehrt sei und sich dort während neun Monaten aufgehalten habe, darauf hin, dass ihm dort keine ernsthafte Gefahr im Sinne des Asylgesetzes drohe. Auch aus den weiteren Vorbringen – die Verfahren wegen Teilnahme an unlauteren Zwangsversteigerungen, die durch einen Polizisten des Terror- büros veranlasst worden sein sollten, die durch polizeilichen Druck been- dete Kooperation mit (…), die fehlende finanzielle Unterstützung während der Covid-Pandemie wegen seiner Parteizugehörigkeit sowie der vorherr- schende Rassismus in seinem Quartier – gehe nicht hervor, dass der auf den Beschwerdeführer ausgeübte Druck eine unerträgliche Form ange- nommen habe. Insbesondere hätten die fünf Verfahren gegen ihn wegen Teilnahme an unlauteren Zwangsversteigerungen mit einem Freispruch geendet. Hinsichtlich der geltend gemachten Schikanen während seines Militärdienstes sei festzuhalten, dass zwar nicht auszuschliessen sei, dass Kurden in der türkischen Armee vermehrt durch ihre türkischen Kameraden und Vorgesetzten behelligt würden. Bei den vom Beschwerdeführer ge- schilderten Anfeindungen handle es sich aber nicht um ernsthafte Nach- teile im Sinne des Asylgesetzes. Schliesslich sei auch im Hinblick auf seine Tätigkeit als kurdischer (…) festzuhalten, dass sich aus den Akten keine konkreten Hinweise darauf ergeben, dass der Beschwerdeführer bei einer Rückkehr in die Türkei mit erheblicher Wahrscheinlichkeit und in absehba- rer Zeit eine flüchtlingsrechtlich relevante Verfolgung zu befürchten habe. Ausser dem von ihm erwähnten Vorfall, als sich die Behörden bei seiner Mutter anlässlich einer Kontrolle nach ihm erkundigt hätten, würde nichts auf eine aktuelle Verfolgung seitens der heimatlichen Behörden schliessen lassen.</w:t>
      </w:r>
    </w:p>
    <w:p>
      <w:r>
        <w:rPr>
          <w:b/>
        </w:rPr>
        <w:t>E. 6.2</w:t>
      </w:r>
    </w:p>
    <w:p>
      <w:r>
        <w:t>Dem wurde in der Beschwerde entgegnet, der Beschwerdeführer habe glaubhaft geltend gemacht, dass er als (…) wegen seiner politischen Tä- tigkeiten in der kurdischen Partei HDP einer politisch motivierten Verfol- gung durch die türkische Polizei ausgesetzt gewesen sei. Er sei nicht nur festgenommen und bedroht, sondern es seien auch seine geschäftli- chen Tätigkeiten beeinträchtigt worden. Die vom Beschwerdeführer</w:t>
      </w:r>
    </w:p>
    <w:p>
      <w:r>
        <w:t>E-2660/2024 Seite 7 vorgebrachten Probleme würden eine hinreichende Intensität aufweisen, zumal in der Türkei zahlreiche Künstler und (…) verhaftet und verurteilt worden seien. Der Beschwerdeführer habe ausserdem die erlittene staat- liche Verfolgung sehr überzeugend und detailliert geschildert und es sei in seinem Fall vom Vorliegen einer begründeten Furcht auszugehen. Die po- litische Situation in der Türkei habe sich in den letzten Jahren in menschen- rechtlicher Hinsicht zunehmend verschlechtert. Es seien Missstände in den türkischen Gefängnissen zu verzeichnen und es werde gezielt gegen Op- positionelle vorgegangen, wie verschiedenen Berichterstattungen zu ent- nehmen sei. Der Beschwerde wurden Kopien des Eheregisters und des Familienaus- weises beigelegt, welchen zu entnehmen ist, dass der Beschwerdeführer am 28. März 2024 die schweizerische Staatsangehörige E._______ (eine Kopie ihrer Identitätskarte wurde ebenfalls mit der Beschwerde einge- reicht) geheiratet hat. In der Beschwerde wird geltend gemacht, dass der Beschwerdeführer seit Längerem mit seiner Ehefrau zusammenlebe und in Kürze ein Gesuch um Familiennachzug beim zuständigen kantonalen Migrationsamt gestellt werde.</w:t>
      </w:r>
    </w:p>
    <w:p>
      <w:r>
        <w:rPr>
          <w:b/>
        </w:rPr>
        <w:t>E. 7.1</w:t>
      </w:r>
    </w:p>
    <w:p>
      <w:r>
        <w:t>Das Bundesverwaltungsgericht gelangt zum Schluss, dass die Vorbrin- gen des Beschwerdeführers den Anforderungen an die Flüchtlingseigen- schaft nicht standzuhalten vermögen. Zur Vermeidung von Wiederholun- gen kann vollumfänglich auf die zutreffenden und eingehenden Ausführun- gen des SEM (angefochtene Verfügung S. 4 ff. und E. 6.1 vorstehend) ver- wiesen werden.</w:t>
      </w:r>
    </w:p>
    <w:p>
      <w:r>
        <w:rPr>
          <w:b/>
        </w:rPr>
        <w:t>E. 7.2</w:t>
      </w:r>
    </w:p>
    <w:p>
      <w:r>
        <w:t>In der Beschwerdeeingabe wird nichts dargetan, was zu einer anderen Einschätzung führen könnte, zumal sich die pauschalen Ausführungen auf Beschwerdeebene auf eine Wiederholung des bereits bekannten Sachver- haltes beschränken. So ist der Beschwerdeführer in den gegen ihn geführ- ten Verfahren wegen Teilnahme an unlauteren Zwangsversteigerungen ei- genen Angaben zufolge freigesprochen worden. Die blosse, nicht weiter belegte Vermutung, die Verfahren seien zum Zwecke seiner finanziellen Schädigung durch einen Polizisten des Terrorbüros eingeleitet worden, sind kaum nachvollziehbar (vgl. SEM-Akten […]-25/14 [nachfolgend act. A25/14] F65). Sein Vorbringen, er sei mehrfach durch die heimatlichen Behörden festgenommen worden, erreicht in flüchtlingsrechtlich relevanter Hinsicht nicht die notwendige Intensität, insbesondere da er jeweils nach kurzer Zeit wieder freigelassen worden sei. An der erforderlichen</w:t>
      </w:r>
    </w:p>
    <w:p>
      <w:r>
        <w:t>E-2660/2024 Seite 8 flüchtlingsrechtlichen Relevanz fehlt es auch hinsichtlich der geltend ge- machten Schikanen im Militärdienst, der beendeten Kooperation mit (…), der fehlenden finanziellen Unterstützung während der Covid-Pandemie oder dem vorherrschenden Rassismus in seinem Quartier. Diesbezüglich ist festzuhalten, dass die Tatsache, dass Angehörige der kurdischen Be- völkerung in der Türkei Schikanen und Benachteiligungen verschiedenster Art ausgesetzt sein können, nicht per se zur Anerkennung der Flüchtlings- eigenschaft führt. Praxisgemäss wird denn auch die Annahme einer Kol- lektivverfolgung im Falle der Kurden in der Türkei verneint (vgl. hierzu Ur- teile des Bundesverwaltungsgerichts [BVGer] E-3917/2021 vom 11. Ja- nuar 2022 E. 6.3, D-2759/2020 vom 29. September 2021 E. 7.2 und D- 36/2018 vom 12. Oktober 2020 E. 6.2). Weitere Ausführungen zu diesen – im Übrigen lediglich unsubstantiierten und unbelegten – Vorbringen des Beschwerdeführers können daher unterbleiben.</w:t>
      </w:r>
    </w:p>
    <w:p>
      <w:r>
        <w:rPr>
          <w:b/>
        </w:rPr>
        <w:t>E. 7.3</w:t>
      </w:r>
    </w:p>
    <w:p>
      <w:r>
        <w:t>Der Beschwerdeführer war in der Türkei sodann äusserst nieder- schwellig politisch tätig und aus den Akten ergibt sich für ihn kein beson- ders exponiertes politisches Profil. In den blossen Teilnahmen als (…) an Kundgebungen oder der Teilnahme an Newroz-Feierlichkeiten lässt sich keine Exponiertheit erkennen. Ebenso wenig wurde er jemals wegen sei- ner eigenen politischen Tätigkeiten strafrechtlich belangt; so ist gegen ihn kein Ermittlungs- oder Strafverfahren im Zusammenhang mit politischen Aktivitäten hängig (act. A25/14 F68). Es ist mithin nicht davon auszugehen, dass er aufgrund seiner politischen Tätigkeiten in seinem Heimatstaat im Fokus der türkischen Behörden gestanden hätte. Dafür spricht, dass die letzte geltend gemachte Festnahme des Beschwerdeführers rund sechs Jahre zurückliegt (act. A25/14 F76), er sich danach während drei Jahren unbehelligt in seinem Heimatstaat aufgehalten hat und er nach seiner ers- ten Ausreise freiwillig in die Türkei zurückgekehrt ist. Auch seine Familie, die sich bei der HDP engagiere, lebt seinen Angaben zufolge weiterhin in der Türkei (act. A25/14 F14 f.).</w:t>
      </w:r>
    </w:p>
    <w:p>
      <w:r>
        <w:rPr>
          <w:b/>
        </w:rPr>
        <w:t>E. 7.4</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t>E-2660/2024 Seite 9</w:t>
      </w:r>
    </w:p>
    <w:p>
      <w:r>
        <w:rPr>
          <w:b/>
        </w:rPr>
        <w:t>E. 8.1</w:t>
      </w:r>
    </w:p>
    <w:p>
      <w:r>
        <w:t>Lehnt das SEM das Asylgesuch ab oder tritt es darauf nicht ein, so verfügt es in der Regel die Wegweisung aus der Schweiz und ordnet den Vollzug an (Art. 44 AsylG). Von dieser Regel wird insbesondere dann ab- gewichen, wenn die asylsuchende Person im Besitz einer gültigen auslän- derrechtlichen Aufenthalts- oder Niederlassungsbewilligung ist (vgl. Art. 32 Abs. 1 Bst. a der Asylverordnung 1 über Verfahrensfragen vom 11. August 1999 [AsylV 1; SR 142.311]). Die Wegweisung wird praxisgemäss auch dann nicht verfügt beziehungsweise hebt das Bundesverwaltungsgericht diese auf, wenn eine asylsuchende Person grundsätzlich über einen An- spruch auf Erteilung einer Aufenthaltsbewilligung verfügt und diesbezüglich ein Gesuch bei der zuständigen kantonalen Ausländerbehörde bereits pen- dent ist (vgl. dazu bspw. das Urteil des Bundesverwaltungsgerichts E-5215/2019 vom 11. Oktober 2019 E. 7.1 m.H.).</w:t>
      </w:r>
    </w:p>
    <w:p>
      <w:r>
        <w:rPr>
          <w:b/>
        </w:rPr>
        <w:t>E. 8.2</w:t>
      </w:r>
    </w:p>
    <w:p>
      <w:r>
        <w:t>Zum Zeitpunkt seiner Verfügung hat das SEM die Wegweisung zu Recht angeordnet, zumal der Beschwerdeführer weder über eine auslän- derrechtliche Bewilligung noch über einen Anspruch auf Erteilung einer sol- chen verfügte. Mittlerweile hat sich seine persönliche Situation insofern ge- ändert, als er sich aufgrund der am 28. März 2024 erfolgten Heirat mit der Schweizer Staatsangehörigen E._______ aus auf einen solchen Bewilli- gungsanspruch berufen kann (Art. 42 Abs. 1 AIG). Zudem wurde gemäss Kenntnissen des Bundesverwaltungsgerichts am 18. Mai 2024 beim Mig- rationsdienst des Kantons B._______ ein Gesuch um Familiennachzug be- ziehungsweise Erteilung einer ausländerrechtlichen Bewilligung einge- reicht; das entsprechende Verfahren ist hängig. Die Prüfung dieses Bewil- ligungsanspruchs fällt in die alleinige Zuständigkeit des Migrationsdienstes des Kantons B._______.</w:t>
      </w:r>
    </w:p>
    <w:p>
      <w:r>
        <w:rPr>
          <w:b/>
        </w:rPr>
        <w:t>E. 8.3</w:t>
      </w:r>
    </w:p>
    <w:p>
      <w:r>
        <w:t>Unter den gegebenen Umständen ist die vom SEM angeordnete Weg- weisung praxisgemäss aufzuheben. Damit erübrigen sich – da diesbezüg- lich gegenstandslos geworden – weitere Ausführungen zur Zulässigkeit, Zumutbarkeit und Möglichkeit eines Wegweisungsvollzugs.</w:t>
      </w:r>
    </w:p>
    <w:p>
      <w:r>
        <w:rPr>
          <w:b/>
        </w:rPr>
        <w:t>E. 9</w:t>
      </w:r>
    </w:p>
    <w:p>
      <w:r>
        <w:t>Aus diesen Erwägungen ergibt sich, dass die Beschwerde im Sinne der Erwägungen gutzuheissen und die vom SEM verfügte Wegweisung (Dis- positivziffer 3) aufzuheben ist. Im Übrigen (Dispositivziffern 1 und 2) ist die Beschwerde abzuweisen, soweit sie nicht als gegenstandslos geworden abzuschreiben ist (Dispositivziffern 4 und 5). Das entsprechende (Sub-)</w:t>
      </w:r>
    </w:p>
    <w:p>
      <w:r>
        <w:t>E-2660/2024 Seite 10 Eventualbegehren auf Rückweisung der Sache an die Vorinstanz ist ange- sichts der vorangegangenen Erwägungen abzuweisen.</w:t>
      </w:r>
    </w:p>
    <w:p>
      <w:r>
        <w:rPr>
          <w:b/>
        </w:rPr>
        <w:t>E. 10.1</w:t>
      </w:r>
    </w:p>
    <w:p>
      <w:r>
        <w:t>Bei diesem Ausgang des Verfahrens ist von einem teilweisen Obsie- gen des Beschwerdeführers auszugehen. Deshalb wären die Verfahrens- kosten entsprechend zu ermässigen und diesem aufzuerlegen (Art. 63 Abs. 1 VwVG). Der Beschwerdeführer beantragte indessen die Gewäh- rung der unentgeltlichen Prozessführung im Sinne von Art. 65 Abs. 1 VwVG. Dieses Gesuch ist gutzuheissen, da die Begehren – ex ante be- trachtet – nicht als aussichtslos zu bezeichnen sind und aufgrund der Akten von der Bedürftigkeit des Beschwerdeführers auszugehen ist. Auf die Er- hebung der Verfahrenskosten ist zu verzichten.</w:t>
      </w:r>
    </w:p>
    <w:p>
      <w:r>
        <w:rPr>
          <w:b/>
        </w:rPr>
        <w:t>E. 10.2</w:t>
      </w:r>
    </w:p>
    <w:p>
      <w:r>
        <w:t>Angesichts des teilweisen Obsiegens wäre dem Beschwerdeführer zu Lasten der Vorinstanz eine reduzierte Parteientschädigung zuzusprechen. Da das teilweise Obsiegen allerdings aufgrund von ausserhalb des Asyl- verfahrens liegenden Gründe erfolgte und in keinem Zusammenhang mit den Beschwerdevorbringen steht, wird praxisgemäss keine Parteientschä- digung entrichtet.</w:t>
      </w:r>
    </w:p>
    <w:p>
      <w:r>
        <w:rPr>
          <w:b/>
        </w:rPr>
        <w:t>E. 10.3</w:t>
      </w:r>
    </w:p>
    <w:p>
      <w:r>
        <w:t>Das Gesuch um Gewährung der unentgeltlichen Rechtsverbeistän- dung ist ebenfalls gutzuheissen (Art. 102m Abs. 1 Bst. c AsylG) und dem Beschwerdeführer ist antragsgemäss der rubrizierte Rechtsvertreter als amtlicher Rechtsbeistand beizuordnen. Dem als amtlicher Rechtsbeistand eingesetzten Rechtsvertreter ist ein amtliches Honorar zulasten der Gerichtskasse zuzusprechen. Die Festset- zung erfolgt in Anwendung der Art. 8–11 sowie Art. 12 des Reglements vom 21. Februar 2008 über die Kosten und Entschädigungen vor dem Bundes- verwaltungsgericht (VGKE). Das Bundesverwaltungsgericht geht bei amt- licher Vertretung in der Regel von einem Stundenansatz von Fr. 100.– bis Fr. 150.– für nicht-anwaltliche Vertreter respektive Vertreterinnen aus (vgl. Art. 12 i.V.m. Art. 10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ist dem amtlichen Rechtsbeistand durch</w:t>
      </w:r>
    </w:p>
    <w:p>
      <w:r>
        <w:t>E-2660/2024 Seite 11 das Gericht ein Honorar in der Höhe von Fr. 900.– (inkl. Auslagen) zuzu- sprechen.</w:t>
      </w:r>
    </w:p>
    <w:p>
      <w:r>
        <w:t>(Dispositiv nächste Seite)</w:t>
      </w:r>
    </w:p>
    <w:p>
      <w:r>
        <w:t>E-2660/2024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