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E-2659/2014 vom 6. Juli 2015</w:t>
      </w:r>
    </w:p>
    <w:p>
      <w:r>
        <w:t>Bundesverwaltungsgericht, 2015-07-06, DE</w:t>
      </w:r>
    </w:p>
    <w:p>
      <w:r>
        <w:rPr>
          <w:b/>
        </w:rPr>
        <w:t xml:space="preserve">Quelle: </w:t>
      </w:r>
      <w:r>
        <w:t>https://mcp.opencaselaw.ch/entscheid/bvger_E-2659_2014</w:t>
      </w:r>
    </w:p>
    <w:p>
      <w:r>
        <w:t>FR: TAF E-2659/2014 du 6 juillet 2015</w:t>
      </w:r>
    </w:p>
    <w:p>
      <w:r>
        <w:t>IT: TAF E-2659/2014 del 6 luglio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Art. 48 Abs. 1 und Art. 52 VwVG). Auf die Beschwerde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hat aufschiebende Wirkung von Gesetzes wegen und die Vorinstanz hat sie nicht entzogen (Art. 55 Abs. 1 und 2 VwVG). Der Antrag betreffend aufschiebende Wirkung ist somit gegenstandslos.</w:t>
      </w:r>
    </w:p>
    <w:p>
      <w:r>
        <w:rPr>
          <w:b/>
        </w:rPr>
        <w:t>E. 2.3</w:t>
      </w:r>
    </w:p>
    <w:p>
      <w:r>
        <w:t>Über offensichtlich unbegründete Beschwerden wird in einzelrichterlicher Zuständigkeit mit Zustimmung einer zweiten Richterin entschieden (Art. 111 Bst. e AsylG). Wie nachstehend aufgezeigt, handelt es sich um eine solche, weshalb der Beschwerdeentscheid nur summarisch zu begründen ist (Art. 111a Abs.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hat im angefochtenen Entscheid festgestellt, dass grosse Zweifel an den Aussagen des Beschwerdeführers hinsichtlich der von ihm angegebenen Herkunft, Staatsangehörigkeit, Asylgründe und Ausreise bestanden hätten, weshalb sie einen Sachverständigen der Lingua-Fachstelle verpflichtet habe, die Angaben zur Herkunft des Beschwerdeführers zu überprüfen. Dieser Fachmann sei aufgrund des Gesprächs vom 17. April 2012 zum Ergebnis gelangt, der Beschwerdeführer sei eindeutig ausserhalb der Autonomen Region Tibet (Volksrepublik China) sozialisiert worden, seine Sozialisation sei sehr wahrscheinlich in der tibetischen Exilgemeinschaft in Nepal oder Indien erfolgt (vgl. act. A17/8). Da der Beschwerdeführer im Rahmen des ihm vom BFM gewährten rechtlichen Gehörs die Vorhaltungen des Sachverständigen nicht schlüssig habe entkräften können (vgl. act. A 23/6), seien die Behauptungen des Beschwerdeführers als unglaubhaft zu bezeichnen. Es könne nicht davon ausgegangen werden, dass ihm seitens seines Heimatstaates gegen seine Person gerichtete staatliche Verfolgungsmassnahmen im Sinne von Art. 3 AsylG gedroht hätten (oder noch drohen würden), und er könne auch keine subjektiven Nachfluchtgründe im Sinne von Art. 54 AsylG geltend machen angesichts des Umstandes, dass er sich offensichtlich nicht in der Volksrepublik China aufgehalten habe. Er könne daher weder legal noch illegal ausgereist sein und somit den chinesischen Behörden aus diesem Grund nicht als ausgereister Staatsangehöriger bekannt sein, weshalb die Ausführungen in BVGE 2009/29 nicht anwendbar seien. Weiter sei seine angebliche chinesische Staatsangehörigkeit nicht glaubhaft gemacht, weshalb die Untersuchungspflicht hinsichtlich allfälliger Wegweisungshindernisse nach Rechtsprechung des Bundesverwaltungsgerichts ihre vernünftige Grenze an der Mitwirkungspflicht des Beschwerdeführers finden würde. Die Vorinstanz habe davon auszugehen, dass keine Wegweisungshindernisse vorlägen, der Vollzug in die VR China jedoch auszuschliessen sei.</w:t>
      </w:r>
    </w:p>
    <w:p>
      <w:r>
        <w:rPr>
          <w:b/>
        </w:rPr>
        <w:t>E. 4.2</w:t>
      </w:r>
    </w:p>
    <w:p>
      <w:r>
        <w:t>Was der Beschwerdeführer in der Rechtsmitteleingabe dagegen vorbringt vermag nicht aufzuzeigen, dass die Vorinstanz den Massstab des Glaubhaftmachens verkannt und in einer falschen Weise angewendet hätte. So teilt das Bundesverwaltungsgericht aus folgenden Gründen die Einschätzung der Vorinstanz in der angefochtenen Verfügung: Die pauschale Behauptung des Beschwerdeführers, als Tibeter und als Staatsfeind der Chinesen heimatliche Beweismittel zur Identität nicht beschaffen zu können, genügt nicht, um konkret nachzuvollziehen, weshalb ihm die Beschaffung von Personalausweisen aus dem Tibet nicht möglich gewesen wäre. Daran ändern die nicht näher ausgeführten Hinweise auf die eingereichten Beweismittel nichts. Weiter handelt es sich nach Auffassung des Gerichts um keine Unterstellung der Vorinstanz, wonach er die eigene Wohnregion offensichtlich nicht kenne und nicht aus dem Tibet stammen könne. Die Argumentation des Sachverständigen im Lingua-Bericht fiel sehr differenziert aus, war auf die wesentlichen Bereiche einer Herkunftsanalyse fokussiert, mithin substanziiert und für das Gericht nachvollziehbar begründet. Deshalb hält es die behauptete Herkunft des Beschwerdeführers aus B._______, Gemeinde C._______, Bezirk D._______, Provinz F._______, Tibet, ebenfalls für nicht glaubhaft. So war ihm nicht einmal die ortsübliche Bezeichnung des eigenen Wohnortes, in dem er Jahrzehnte lang gelebt haben will, geläufig. Mit den benachbarten Orten, weiteren Örtlichkeiten, Gebietsgrenzen, Distanzen, Liedern und Sehenswürdigkeiten seiner angeblichen Region war er zudem offensichtlich nicht vertraut. Der nachhaltige Eindruck, er habe nicht von persönlichen Erlebnissen und Erfahrungen in der Region berichtet, wird noch dadurch verstärkt, dass er als einheimischer Bauer die in seiner Region üblichen Tierbezeichnungen nicht verwendet und keine verlässlichen Auskünfte über ortsübliche Einkommensverhältnisse geboten hat. Folglich drängt sich der Schluss zwingend auf, wonach er vor seiner Ankunft in der Schweiz nicht in dieser Wohn- und Arbeitsregion (Volksrepublik China) - eine eventuelle frühe Erstsozialisation in Tibet soll dabei nicht gänzlich ausgeschlossen sein -, sondern aufgrund seiner Kenntnisse und sprachlichen Unzulänglichkeiten hauptsächlich in der exiltibetischen Diaspora gelebt haben muss. Die in der Beschwerde gegen die Lingua-Analyse erhobenen Einwendungen - der Beschwerdeführer sei überraschend in das Telefongespräch eingebunden worden, er habe sich unter Druck gesetzt und zu Aussagen gedrängt gefühlt; die Qualifikation des Experten sei anzuzweifeln und es seien ihm nicht diejenigen Fragen (so zu Volksliedern und Jungtierbezeichnungen) gestellt worden, die in der Expertise genannt würden - vermögen bei dieser Beweislage nicht zu überzeugen. So besteht für das Gericht keine Veranlassung, die Qualifikation des Sachverständigen in Frage zu stellen, zumal vorliegend auch keine substanziellen Beanstandungen gegen ihn erhoben wurden. Selbst wenn sich aufgrund einer späteren Auswertung der Tonträger (wider Erwarten des Gerichts) nachweisen liesse, dass Jungtierbezeichnungen und Volkslieder nicht Gegenstand des Telefongesprächs gewesen sind, hätte dies auf den Verfahrensausgang keinen Einfluss, sind doch die übrigen festgestellten Wissensdefizite in den landeskundlich-kulturellen Bereichen und die Auffälligkeiten bei den Sprech- und Sprachkompetenzen des Beschwerdeführers alleine schon ausschlaggebend für die Abweisung seiner Beschwerde. Weiter sind die auf Beschwerdestufe nachgeschobenen Ausführungen zur Heimatregion als unbehelflich zu bezeichnen. Schliesslich sind die Behauptungen, wonach er bei seinen Befragungen nach den vielen Eindrücken seiner anspruchsvollen Flucht nervös und psychisch unsicher gewesen sei, sowie der Hinweis auf mögliche Übersetzungsfehler keine geeigneten Einwände, um die überzeugenden Erkenntnisse des Lingua-Berichts, der die Anforderungen an ein korrektes Verfahren zu Alltags- und Wissenstests und zu Herkunftsabklärungen erfüllt (vgl. Urteil des BVGer E-3361/2014 vom 6. Mai 2015 [zur Publikation vorgesehen]), in Zweifel zu ziehen, geschweige denn zu entkräften.</w:t>
      </w:r>
    </w:p>
    <w:p>
      <w:r>
        <w:rPr>
          <w:b/>
        </w:rPr>
        <w:t>E. 4.3</w:t>
      </w:r>
    </w:p>
    <w:p>
      <w:r>
        <w:t>Der Beschwerdeführer macht sodann unter Hinweis auf EMARK 2006 Nr. 1 geltend, durch seine Flucht aus der Volksrepublik China erfülle er aufgrund subjektiver Nachfluchtgründe die Flüchtlingseigenschaft (vgl. Beschwerde S. 8ff.). Wie vorstehend dargelegt, vermag er weder Fluchtgründe noch Staatsangehörigkeit, noch Herkunft oder eine illegale Ausreise glaubhaft zu machen. Bei dieser Sachlage ist das Vorliegen subjektiver Nachfluchtgründe gemäss Art. 54 AsylG zu verneinen.</w:t>
      </w:r>
    </w:p>
    <w:p>
      <w:r>
        <w:rPr>
          <w:b/>
        </w:rPr>
        <w:t>E. 4.4</w:t>
      </w:r>
    </w:p>
    <w:p>
      <w:r>
        <w:t>Insgesamt hat der Beschwerdeführer nichts vorgebracht, das geeignet wäre, einen Fluchtgrund in Bezug auf die Volksrepublik China zumindest glaubhaft zu machen. Die Vorinstanz hat sein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In Bezug auf den Vollzug der Wegweisung hält die Vorinstanz vorab fest, der Beschwerdeführer habe die geltend gemachte Staatsangehörigkeit und Herkunft nicht glaubhaft gemacht. Das Gericht folgt der Vorinstanz sowohl in diesem Punkt als auch hinsichtlich der weiteren diesbezüglichen Erwägungen. Die Staatsangehörigkeit des Beschwerdeführers gilt deshalb als unbekannt.</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an den bisherigen Aufenthaltsort stünden keine flüchtlings- oder wegweisungsbeachtliche Gründe im gesetzlichen Sinne entgegen (vgl. dazu BVGE 2014/12 E. 5.10). Ein Vollzug der Wegweisung in die Volksrepublik China ist im vorinstanzlichen Entscheid folgerichtig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Es ist nicht Sache des Gerichts, sich in Mutmassungen und Spekulationen zu ergehen.</w:t>
      </w:r>
    </w:p>
    <w:p>
      <w:r>
        <w:rPr>
          <w:b/>
        </w:rPr>
        <w:t>E. 6.3</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 Das Gesuch um Gewährung der unentgeltlichen Rechtspflege wurde mit Zwischenverfügung vom 11. Juli 2014 wegen Aussichtslosigkeit der Beschwerdebegehren abgewiesen. Bei diesem Ausgang des Verfahrens sind die Kosten von Fr. 600.- (Art. 1-3 des Reglements vom 21. Februar 2008 über die Kosten und Entschädigungen vor dem Bundesverwaltungsgericht [VGKE, SR 173.320.2]) dem Beschwerdeführer aufzuerlegen (Art. 63 Abs. 1 VwVG). Der am 25. Juli 2014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