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E-2652/2016 vom 8. Juni 2016</w:t>
      </w:r>
    </w:p>
    <w:p>
      <w:r>
        <w:t>Bundesverwaltungsgericht, 2016-06-08, DE</w:t>
      </w:r>
    </w:p>
    <w:p>
      <w:r>
        <w:rPr>
          <w:b/>
        </w:rPr>
        <w:t xml:space="preserve">Quelle: </w:t>
      </w:r>
      <w:r>
        <w:t>https://mcp.opencaselaw.ch/entscheid/bvger_E-2652_2016</w:t>
      </w:r>
    </w:p>
    <w:p>
      <w:r>
        <w:t>FR: TAF E-2652/2016 du 8 juin 2016</w:t>
      </w:r>
    </w:p>
    <w:p>
      <w:r>
        <w:t>IT: TAF E-2652/2016 del 8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 3.1 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3.2 Das Bundesverwaltungsgericht hat die Anforderungen an das Glaubhaftmachen der Vorbringen im Urteil BVGE 2010/57 (E. 2.2 und 2.3) dargelegt und folgt dabei ständiger Praxis. Darauf kann hier verwiesen werden. 4.1 Die Vorinstanz gelangt in der angefochtenen Verfügung zum Schluss, dass die Vorbringen des Beschwerdeführers den Anforderungen an das Glaubhaftmachen gemäss Art. 7 AsylG nicht standhalten würden. Seine Ausführungen seien nicht substantiiert, das von ihm geschilderte Verhalten in gewissen Zusammenhängen nicht nachvollziehbar sowie die Handlungsabläufe nicht logisch dargelegt. Deswegen könne nicht davon ausgegangen werden, dass er tatsächlich aufgrund seiner politischen Gesinnung verfolgt werde. 4.2 Was der Beschwerdeführer in seiner Rechtsmitteleingabe dagegen vorbringt, ist nicht geeignet, die vorinstanzlichen Erwägungen umzustossen, zumal er sich mit wesentlichen Vorhalten der Vorinstanz kaum oder nur unzureichend auseinandersetzt. So gelingt es ihm nicht, glaubhaft zu machen, dass er in seinem Heimatland von politischen Gegnern verfolgt werde, und wenn er bloss behauptet, dass er und sein Vater in ihrer Eigenschaft als Geldgeber der PDP ins Visier der APC-Anhänger geraten seien, ohne dies weiter zu belegen oder zu konkretisieren, legt er eben nicht überzeugend dar, dass es sich bei diesen Ausführungen um mehr als blosse Mutmassungen handelt. Genausowenig ist eine unterbliebene Lösegeldforderung ein zwingendes Indiz für einen politischen Mord. Der Beschwerdeführer bringt ansonsten lediglich allgemeine Berichte über die Gewalt bei politischen Wahlen in Nigeria bei, ohne darzutun, inwiefern diese in seinem konkreten Fall relevant wären. Seine Behauptung, wonach er infolge dieser Ausgangslage keinen Beweis dafür erbringen könne, dass politische Gegner seinen Vater ermordet und sein Haus zerstört hätten, ist daher nicht überzeugend. Zudem kann dadurch auch die Feststellung der Vorinstanz nicht entkräftet werden, dass er persönlich hätte Nachforschungen anstellen sollen, wenn er davon ausgehen musste, von APC-Anhängern verfolgt zu werden. Ebensowenig setzt er sich auf Beschwerdeebene mit der Feststellung der Vorinstanz auseinander, dass nicht nachvollzogen werden könne, weshalb er von seinen angeblichen Gegnern nie an seinem Arbeitsplatz oder in seiner Wohnung aufgesucht worden sei, wäre dies bei tatsächlichem Interesse an ihm doch ohne weiteres zu erwarten gewesen. Seine Aussage, erst seit Kurzem Mitglied der PDP zu sein, lässt weitere Zweifel am Verfolgungsinteresse allfälliger politischer Gegner aufkommen. Ferner versucht er auch die für einen innerstaatlichen Wohnortswechsel angeführten Schwierigkeiten lediglich mit einem Bericht über das allgemeine Siedlungsverhalten ethnischer Gruppen in Nigeria zu belegen, ohne dass die daraus abgeleitete Unmöglichkeit einer innerstaatlichen Wohnalternative überzeugen würde. Es wird nicht bestritten, dass sich in Nigeria der Wechsel in eine neue Umgebung schwierig gestaltet, wenn kein persönliches Beziehungsnetzwerk vorhanden ist, doch hätte vom Beschwerdeführer erwartet werden können, dass er bis zur Klärung einer allfälligen Verfolgungssituation kurzfristig an einem fremden Ort untertaucht. Abgesehen von diesen Einwänden wiederholt der Beschwerdeführer den bereits im vorinstanzlichen Verfahren geltend gemachten Sachverhalt und hält an dessen Wahrheitsgehalt fest, ohne sich mit den Einwänden der Vor-instanz auseinanderzusetzen und dabei aufzuzeigen, inwieweit diese zu Unrecht auf Unglaubhaftigkeit geschlossen hätte. Der Beschwerdeführer hat somit nichts vorgebracht, das geeignet wäre, die Flüchtlingseigenschaft nachzuweisen oder glaubhaft zu machen. Die Vorinstanz hat das Asylgesuch zu Recht abgelehnt. 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AuG).</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keine konkreten Anhaltspunkte dafür vor, dass der Beschwerdeführer für den Fall einer Ausschaffung in seinen Heimatstaat dort mit beachtlicher Wahrscheinlichkeit einer nach Art. 3 EMRK oder Art. 1 FoK verbotenen Strafe oder Behandlung ausgesetzt wäre. Der Vollzug der Wegweisung ist demnach sowohl im Sinne der landes-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Nigeria herrscht keine Situation allgemeiner Gewalt. In einzelnen Regionen sind Spannungen zu verzeichnen, doch finden diese Auseinandersetzungen punktuell statt und sind lokal beschränkt. Der Beschwerdeführer macht geltend, dass ihm aufgrund seines schlechten Gesundheitszustandes die Wegweisung in sein Heimatland nicht zumutbar sei. Er würde bei einer Rückkehr enorme körperliche und geistige Ressourcen aktivieren müssen, welche er jedoch in seinem Zustand nicht erbringen könne. Er sei auf eine dauerhafte Schilddrüsen-Substitution angewiesen; diese Behandlung würde ihm in seinem Heimatland verwehrt werden. Ferner führte er an, dass er wegen Osteoarthrose ebenfalls auf eine weiterführende medizinische Behandlung angewiesen sei. Aus dem beigelegten Arztzeugnis vom 20. April 2016 geht nicht hervor, dass medizinische Gründe dem Beschwerdeführer eine Rückkehr in sein Heimatland verwehren würden. In Bezug auf die Schilddrüsensubstitution wurde festgehalten, dass diese Behandlung in Nigeria möglich sein sollte, da es sich um ein gutes, einfaches und günstig behandelbares Krankheitsbild handle. In Bezug auf die Osteoarthrose wurde die hohe Wahrscheinlichkeit, dass diese zunehmen würde, prognostiziert. Zwar konnte die zuständige Ärztin über die Behandlungsmöglichkeiten in Nigeria keine Angaben machen, doch legte auch der Beschwerdeführer nicht substantiiert dar, dass diese in seinem Heimatland nicht möglich sei. Zudem kann der Beschwerdeführer keine substantiierten Gründe anführen, weshalb ihm eine adäquate medizinische Behandlung in Nigeria verwehrt werden würde. Der Vollzug der Wegweisung ist somit zumutbar.</w:t>
      </w:r>
    </w:p>
    <w:p>
      <w:r>
        <w:rPr>
          <w:b/>
        </w:rPr>
        <w:t>E. 6.4</w:t>
      </w:r>
    </w:p>
    <w:p>
      <w:r>
        <w:t>Es obliegt dem Beschwerdeführer, sich die für eine Rückkehr allenfalls notwendigen Reisedokumente bei der Vertretung seines Heimatlandes zu beschaffen (Art. 8 Abs. 4 AsylG; BVGE 2008/34 E. 12), weshalb der Vollzug der Wegweisung als möglich zu bezeichnen ist.</w:t>
      </w:r>
    </w:p>
    <w:p>
      <w:r>
        <w:rPr>
          <w:b/>
        </w:rPr>
        <w:t>E. 6.5</w:t>
      </w:r>
    </w:p>
    <w:p>
      <w:r>
        <w:t>Zusammenfassend hat die Vorinstanz den Wegweisungsvollzug zu Recht als zulässig, zumutbar und möglich bezeichnet. Eine Anordnung der vorläufigen Aufnahme fällt somit ausser Betracht (Art. 83 Abs. 1 und 4 AuG). Nach dem Gesagten ergibt sich, dass die angefochtene Verfügung Bundesrecht nicht verletzt und auch sonst nicht zu beanstanden ist (Art. 106 Abs. 1 AsylG). Die Beschwerde ist abzuweisen.</w:t>
      </w:r>
    </w:p>
    <w:p>
      <w:r>
        <w:rPr>
          <w:b/>
        </w:rPr>
        <w:t>E. 8</w:t>
      </w:r>
    </w:p>
    <w:p>
      <w:r>
        <w:t>Die gestellten Begehren erweisen sich als aussichtslos, weshalb das Gesuch um Gewährung der unentgeltlichen Prozessführung sowie Beiordnung eines Rechtsbeistandes ungeachtet einer allfälligen prozessualen Bedürftigkeit abzuweisen ist (Art. 65 Abs. 1 VwVG). Bei diesem Ausgang sind die Verfahrenskosten von Fr. 600.- (Art. 1 bis 3 des Reglements vom 21. Februar 2008 über die Kosten und Entschädigungen vor dem Bundesverwaltungsgericht [VGKE], SR 173.320.2) dem Beschwerdeführer aufzuerlegen (Art. 63 Abs. 1 VwVG).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