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E-2643/2020 vom 17. November 2020</w:t>
      </w:r>
    </w:p>
    <w:p>
      <w:r>
        <w:t>Bundesverwaltungsgericht, 2020-11-17, DE</w:t>
      </w:r>
    </w:p>
    <w:p>
      <w:r>
        <w:rPr>
          <w:b/>
        </w:rPr>
        <w:t xml:space="preserve">Quelle: </w:t>
      </w:r>
      <w:r>
        <w:t>https://mcp.opencaselaw.ch/entscheid/bvger_E-2643_2020</w:t>
      </w:r>
    </w:p>
    <w:p>
      <w:r>
        <w:t>FR: TAF E-2643/2020 du 17 novembre 2020</w:t>
      </w:r>
    </w:p>
    <w:p>
      <w:r>
        <w:t>IT: TAF E-2643/2020 del 17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Entscheid damit, die Vorbringen der Beschwerdeführerin hielten den Anforderungen an die Flüchtlingseigenschaft gemäss Art. 3 AsylG nicht stand. Sie führte im Wesentlichen aus, gestützt auf die Aussagen der Beschwerdeführerin und die eingereichten Beweismittel (Gerichtsunterlagen) habe der kosovarische Staat geeignete Massnahmen eingeleitet, um die Gewalt gegen die Beschwerdeführerin zu ahnden. Aufgrund des Ausgangs des gegen ihren Vater eingeleiteten Verfahrens, der zwar nicht deren Vorstellungen entspreche, könne nicht auf eine fehlende Schutzfähigkeit und Schutzwilligkeit des kosovarischen Staates geschlossen werden. Vielmehr sei ihre Anzeige von den Behörden entgegengenommen, Massnahmen eingeleitet und die Beschwerdeführerin durch den Sozialdienst beraten worden. Zudem habe die Polizei ihr empfohlen, Zuflucht in einem Frauenhaus zu suchen. Dass sie diese Massnahme nicht als adäquat erachte, könne nicht dem Staat zugerechnet werden. Weiter sei es ihr zuzumuten, mit Hilfe ihres Bruders, der sie bereits bei der Anzeige gegen ihren Vater unterstützt habe, die sexuellen Übergriffe und die Freiheitsberaubung seitens ihres Vaters, anzuzeigen. Es gebe keine Anzeichen dafür, dass der kosovarische Staat in diesem Fall keine geeigneten Massnahmen einleiten würde. Grundsätzlich sei davon auszugehen, dass die lokalen und internationalen Sicherheitskräfte Betroffenen von häuslicher und sexueller Gewalt den nötigen Schutz gewähre. Die Vorbringen der Beschwerdeführerin seien somit asylrechtlich nicht relevant. Ferner lehnte die Vorinstanz den Antrag der Beschwerdeführerin ab, den in Aussicht gestellten Bericht der [Beratungsstelle] abzuwarten, da eine allfällige Bestätigung der Vorbringen der Beschwerdeführerin in diesem Bericht nichts an den Erwägungen ändern würde. Entgegen der in der Stellungnahme zum Entwurf erhobenen Einwände ergebe sich aus dem Urteil des Gerichts Gjilan vom (...) 2020, dass die darin angeordnete ambulante psychiatrische Behandlung des Vaters notwendig, aber auch ausreichend sei, um der ernsthaften Gefahr weiterer Straftaten durch diesen zu begegnen. Diese Massnahme sei dem Gericht vom Kosovarischen Forensischen Psychiatrischen Institut Pristina (PFK) in seinem Bericht 4/2-6 vom(...) 2020 auch vorgeschlagen worden. Es gebe keine Belege dafür, dass der Beschwerdeführerin die ihr zustehenden Teilnahmerechte im Gerichtsverfahren nicht gewährt worden seien und auch keine solche für eine fehlende Schutzfähigkeit der kosovarischen Behörden. Sie sei im Übrigen in der Strafuntersuchung gehört worden. Die Gewährung von Akteneinsicht ins Ausland sei unüblich. Schliesslich wies die Vorinstanz auf eine auch kurzfristige Unterbringungsmöglichkeit in einem Frauenhaus hin. Im Weiteren habe der Bundesrat Kosovo per 1. Januar 2018 als Staat bezeichnet, in den die Rückkehr in der Regel zumutbar sei (Regelvermutung). Die Beschwerdeführerin sei jung und habe mit ihrem jüngeren Bruder sowie einem Onkel und einer Tante, die zwar aus Angst vor ihrem Vater nichts mit diesem zu tun haben wollten, ein tragfähiges Beziehungsnetz im Kosovo. Weiter habe sie einen Bruder in Frankreich, der in der Schweiz arbeite und sie finanziell unterstützen könne. Zudem habe sie den Kontakt zur Mutter in der Schweiz wiederhergestellt. Hinsichtlich der Traumafolgestörung sei die psychiatrische Grundversorgung im Kosovo weitgehend gegeben. Der Beschwerdeführerin sei es nicht gelungen, die erwähnte Regelvermutung umzustossen.</w:t>
      </w:r>
    </w:p>
    <w:p>
      <w:r>
        <w:rPr>
          <w:b/>
        </w:rPr>
        <w:t>E. 3.2</w:t>
      </w:r>
    </w:p>
    <w:p>
      <w:r>
        <w:t>Die Beschwerdeführerin machte demgegenüber geltend, ihr Vater sei seit sie sich erinnern könne, gewalttätig gegen sie gewesen und habe sie geschlagen. Er sei zwar oft für einige Monate inhaftiert worden. Das Sorgerecht sei ihm jedoch nie entzogen worden. Nach der sechsten Klasse habe er sie von der Schule genommen und sie gezwungen, im Haus zu arbeiten. Nachdem er sie am (...) 2019 zu vergewaltigen versucht habe, habe sie ihn bei der Polizei angezeigt, dabei jedoch aus Scham nichts vom sexuellen Übergriff erzählt. Sie sei in der Schweiz erstmals bei einem Psychiater gewesen. Sie leide aufgrund der jahrelangen physischen Gewalt ihres Vaters an einer Traumafolgestörung. Gemäss dem Bericht der [Beratungsstelle] vom 15. Mai 2020, wäre es ihr nicht möglich, in ihrem Heimatland ein Gefühl der Sicherheit aufzubauen, welches für ihre psychische Genesung und ein selbstbestimmtes Leben zentral wäre. Entgegen der Ausführungen der Vorinstanz könne vorliegend nicht von der Schutzfähigkeit der kosovarischen Behörden ausgegangen werden. Aufgrund des jahrelang Erlebten habe von ihr nicht erwartet werden können, selbst Anzeige bei den Behörden einzureichen. Die kosovarischen Behörden hätten es trotz zahlreicher Hinweise auf die Gewalttätigkeit ihres Vaters unterlassen, diesem das Sorgerecht zu entziehen und dessen Kinder zu schützen. Das letzte Strafverfahren habe auch nicht zu ihrem Schutz geführt. Der Vater lebe auf freiem Fuss, ohne dass sie als Opfer darüber informiert worden wäre. Die psychiatrische Behandlung ihres Vaters könne nicht als ausreichend bezeichnet werden, um der ernsthaften Gefahr weiterer Straftaten zu begegnen. Im Strafverfahren gegen ihn seien die Verfahrensrechte der Beschwerdeführerin verletzt worden. Ihr jüngerer Bruder stehe zudem zwischen ihr und dem Vater und habe damals auch keine längere Freiheitsstrafe gegen diesen angestrebt. Verschiedenen Berichten zufolge würden Opfer von häuslicher Gewalt nur ungenügend geschützt und sei deren Situation prekär. Zudem bestehe im Kosovo eine Stigmatisierung und Isolation von Opfern sexueller Gewalt. Bei der Unterbringung in einem Frauenhaus handle es sich wie die Vorinstanz selber ausgeführt habe, nur um eine kurzfristige Lösung. Eine Anschlusslösung sei für wirtschaftlich benachteiligte alleinstehende Frauen sehr schwierig, da diese beim Zugang zu Unterkünften und Sozialwohnungen diskriminiert würden.</w:t>
      </w:r>
    </w:p>
    <w:p>
      <w:r>
        <w:rPr>
          <w:b/>
        </w:rPr>
        <w:t>E. 3.3</w:t>
      </w:r>
    </w:p>
    <w:p>
      <w:r>
        <w:t>Die Vorinstanz hielt in ihrer Vernehmlassung an ihrem Standpunkt fest und führte dabei aus, Kosovo sei ein verfolgungssicherer Staat. Es könne aufgrund der Tatsache, dass eine Person mit den von den Behörden getroffenen oder vorgeschlagenen Massnahmen nicht einverstanden sei, nicht von der Schutzunfähigkeit beziehungsweise Schutzunwilligkeit eines Staates ausgegangen werden. Es existierten im Kosovo den westlichen Standards entsprechende Behandlungsmöglichkeiten für psychiatrische Erkrankungen. Zudem verfüge die Beschwerdeführerin über ein soziales Netz, welches sie bereits in der Vergangenheit unterstützt habe.</w:t>
      </w:r>
    </w:p>
    <w:p>
      <w:r>
        <w:rPr>
          <w:b/>
        </w:rPr>
        <w:t>E. 3.4</w:t>
      </w:r>
    </w:p>
    <w:p>
      <w:r>
        <w:t>In der Replik wendete die Beschwerdeführerin dazu ein, die von den Behörden getroffenen Massnahmen würden nicht ausreichen, um sie vor weiteren Übergriffen seitens ihres Vaters zu schützen. Ihr Bruder habe ihr telefonisch mitgeteilt, dass sich ihr Vater nicht an die vom Bezirksgericht Gjilan ausgesprochenen Auflagen - eine ambulante psychiatrische Behandlung - halte. Die Behörden würden dies auch nicht überprüfen. Es sei ihr auch nicht zumutbar, in ihr Heimatland und somit an den Ort der Misshandlungen zurückzukehren, zumal sie über kein soziales Umfeld verfüge, das sie bei der Wiedereingliederung unterstützen könnte. Demgegenüber stelle ihre in der Schweiz wohnhafte Mutter eine wichtige und hilfreiche Stütze dar. Es sei damit zu rechnen, dass sich ihre gesundheitliche Situation im Falle einer Rückkehr in den Kosovo aufgrund der Furcht vor weiteren Übergriffen weiterhin verschlechtern würde.</w:t>
      </w:r>
    </w:p>
    <w:p>
      <w:r>
        <w:rPr>
          <w:b/>
        </w:rPr>
        <w:t>E. 4.1</w:t>
      </w:r>
    </w:p>
    <w:p>
      <w:r>
        <w:t>Vorab ist auf die von der Beschwerdeführerin gerügte Verletzung der Untersuchungspflicht und den diesbezüglichen Eventualantrag um Aufhebung der angefochtenen Verfügung und Rückweisung an die Vorinstanz zwecks Neubeurteilung einzugehen.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4.3</w:t>
      </w:r>
    </w:p>
    <w:p>
      <w:r>
        <w:t>Die Beschwerdeführerin macht geltend, die Vorinstanz habe es unterlassen, die Auswirkungen einer Rückkehr in den Kosovo auf ihre psychische Verfassung zu prüfen. Zudem habe sie den in Aussicht gestellten Bericht der [Beratungsstelle] nicht abgewartet. Die Vorinstanz habe es gar nicht in Betracht gezogen, dass dieser zusätzliche fachliche Informationen zu ihren Vorbringen enthalten könnte.</w:t>
      </w:r>
    </w:p>
    <w:p>
      <w:r>
        <w:rPr>
          <w:b/>
        </w:rPr>
        <w:t>E. 4.4</w:t>
      </w:r>
    </w:p>
    <w:p>
      <w:r>
        <w:t>Im angefochtenen Entscheid hielt die Vorinstanz fest, mit dem am 7. April 2020 von der Rechtsvertretung eingereichten psychiatrischen Konsilium vom 13. Februar 2020 erachte sie den Sachverhalt als erstellt. In Bezug auf den in Aussicht gestellten Bericht der [Beratungsstelle] werde jedoch darauf verzichtet, diesen abzuwarten, da er die Vorbringen der Beschwerdeführerin lediglich bestätigen, an der Beurteilung derselben jedoch nichts ändern würde. Nachdem die Vorinstanz die Vorbringen der Beschwerdeführerin nicht in Frage gestellt hat und mit der Ankündigung eines Berichts der [Beratungsstelle] mit keinen neuen Erkenntnissen sondern lediglich einer Einschätzung der Situation der Beschwerdeführerin durch Fachpersonen zu rechnen war, kann vorliegend nicht der Schluss gezogen werden, dass die Vorinstanz den Sachverhalt nicht vollständig abgeklärt habe, zumal in dem auf Beschwerdeebene eingereichten Bericht vom 15. Mai 2020 die Vorbringen der Beschwerdeführerin in ihrem Asylgesuch bestätigt wurden. Ausserdem hat die Vorinstanz die Traumafolgestörung der Beschwerdeführerin und damit die psychischen Auswirkungen einer Rückkehr in ihren Heimatstaat berücksichtigt. Insgesamt ist das Vorgehen der Vorinstanz daher nicht zu beanstanden und es lag ihr eine ausreichende Grundlage für ihren Entscheid vor. Es besteht somit kein Grund für die Rückweisung der Sache an die Vorinstanz zwecks Neubeurteilung. Der diesbezügliche Eventualantrag ist folglich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materieller Hinsicht ist festzustellen, dass das Flüchtlingsrecht subsidiär ausgestaltet ist. Demnach ist eine Bedürftigkeit nach internationalem Schutz dann anerkannt, wenn der Heimatstaat den Betroffenen keinen Schutz bieten will oder kann (vgl. Entscheidungen und Mitteilungen der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7.1-7.4 m.w.H.).</w:t>
      </w:r>
    </w:p>
    <w:p>
      <w:r>
        <w:rPr>
          <w:b/>
        </w:rPr>
        <w:t>E. 6.2</w:t>
      </w:r>
    </w:p>
    <w:p>
      <w:r>
        <w:t>Gemäss Beschluss des Bundesrates vom 6. März 2009 gilt der Kosovo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Wie die Beschwerdeführerin in ihrer Beschwerdeschrift zu verkennen scheint, kann dabei nicht eine faktische Garantie für langfristigen individuellen Schutz der von nichtstaatlicher Verfolgung bedrohten Person verlangt werden, weil es keinem Staat gelingen kann, die absolute Sicherheit seiner Bürgerinnen und Bürger jederzeit und überall zu garantieren. Insofern ist vom bestehenden Schutzwillen und von der weitgehenden Schutzfähigkeit der Sicherheitsbehörden auszugehen (vgl. bspw. Urteile des BVGer E-1027/2019 vom 22. März 2019 E. 6.3; D-2562/2013 vom 16. Mai 2013 E. 4.1 f. mit Hinweis auf BVGE 2011/50 E. 4.7; E-5031/2012 vom 4. Juni 2014 E. 7.3; E-1215/2011 vom 12. August 2013 E. 4.2). Dem Bundesverwaltungsgericht ist durchaus bewusst, dass Frauen im Kosovo bei der Durchsetzung ihrer Rechte im Allgemeinen und in Bezug auf den Schutz vor drohender Gewalt im Besonderen nach wie vor auf Schwierigkeiten stossen. Jedoch sind auch Fortschritte in der staatlichen Ahndung von häuslicher Gewalt gegen Frauen erzielt worden. So wird häusliche Gewalt mit einer Strafdrohung von sechs Monaten bis zu fünf Jahren geahndet. Die Probleme lagen und liegen nach wie vor in der Durchsetzung der Gesetze, weil Frauen aus Furcht vor gesellschaftlicher Ächtung und familiärer Loyalität auf eine Anzeige verzichten würden (vgl. US Departement of State, Country Report on Human Rights Practices for 2015 - Kosovo, S. 21 ff., https://2009-2017.state.gov/j/drl/rls/hrrpt/humanrightsreport//index.htm#wrapper, abgerufen am 21. Oktober 2020). Im Jahr 2017 führte das Justizsystem strengere Verfahren ein, um die Zuweisung von Staatsanwälten für Fälle von häuslicher Gewalt zu priorisieren. Das Ministerium für Arbeit und Soziales unterhält sodann eine Abteilung für Familiengewalt. Die Regierung unterstützte sieben Nichtregierungsorganisationen bei der Unterstützung von Kindern und weiblichen Opfern häuslicher Gewalt, so unter anderem auch mit der Schaffung und dem Betrieb von entsprechenden Unterkünften (vgl. US Departement of State, 2018 Country Reports on Human Rights Practices: Kosovo, March 13, 2019, https://www.state.gov/reports/2019-country-reports-on-human-rights-practices/kosovo/, abgerufen am 21. Oktober 2020). Der Einwand der Beschwerdeführerin, im Kosovo bestehe Stigmatisierung und Isolation von Opfern sexueller Gewalt und sie habe bei der seinerzeitigen Anzeige bei der Polizei aus Scham nichts vom sexuellen Übergriff erzählt, sind vor diesem Hintergrund durchaus nachvollziehbar. Indes sind die Ermittlungsbehörden auf ihre Anzeige tätig geworden und ihr Vater vor Gericht geführt und von diesem nach Beizug des Kosovarischen Forensischen Psychiatrischen Institut Pristina (PFK) verurteil worden, wobei eine ambulante psychiatrische Behandlung angeordnet worden war. Dass die Beschwerdeführerin die sexuellen Übergriffe durch ihren Vater anlässlich der Anzeige bei der Polizei nicht erwähnte, ist zwar nachvollziehbar, kann aber nicht den kosovarischen Ermittlungsbehörden angelastet werden. Für die Berechtigung des Vorbringens der Beschwerdeführerin, ihre Teilnahmerechte im kosovarischen Gerichtsverfahren seien verletzt worden (vgl. Beschwerde S. 7), ergeben sich in den Akten keine konkreten Anhaltspunkte. In Bezug auf die von ihr geäusserte Scham und die Situation ihres jüngeren Bruders, der sich nicht gegen seinen Vater habe stellen wollen, ist zudem festzustellen, dass es im Kosovo - gemäss obigen Quellenangaben - staatliche und private Institutionen gibt, welche der Beschwerdeführerin entsprechende Hilfe und Unterstützung anbieten können, dies allenfalls auch unter Beizug ihres jüngeren Bruders, ihres Onkels oder ihrer Tante (vgl. E. 3.1). Im Ergebnis sind die Vorbringen der Beschwerdeführerin also nicht geeignet, die vermutete Verfolgungssicherheit im Kosovo zu entkräften. An dieser Erkenntnis vermögen auch die übrigen Beweismittel und Berichterstattungen nichts zu ändern.</w:t>
      </w:r>
    </w:p>
    <w:p>
      <w:r>
        <w:rPr>
          <w:b/>
        </w:rPr>
        <w:t>E. 6.3</w:t>
      </w:r>
    </w:p>
    <w:p>
      <w:r>
        <w:t>Es ist demnach im vorliegenden Fall vom Schutzwillen und der weitgehenden Schutzfähigkeit der kosovarischen Behörden auszugehen, weshalb die asylrechtliche Relevanz der geltend gemachten Übergriffe nicht bejaht werden kann.</w:t>
      </w:r>
    </w:p>
    <w:p>
      <w:r>
        <w:rPr>
          <w:b/>
        </w:rPr>
        <w:t>E. 6.4</w:t>
      </w:r>
    </w:p>
    <w:p>
      <w:r>
        <w:t>Zusammenfassend hat die Vorinstanz gestützt auf Art. 3 AsylG zu Recht das Bestehen der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8.2.2</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vorangehenden Erwägungen (vgl. insbesondere E. 6.3.3) nicht gelungen. Auch die allgemeine Menschenrechtssituation im Heimatstaat lässt den Wegweisungsvollzug zum heutigen Zeitpunkt nicht als unzulässig erscheinen. Betreffend die befürchteten weiteren Nachstellungen seitens ihres Vaters kann sie sich an die Behörden wenden und/oder allenfalls eine innerstaatliche Wohnsitzalternative suchen. Nach dem Gesagten ist der Vollzug der Wegweisung sowohl im Sinne der asyl- als auch der völkerrechtlichen Bestimmungen zulässig.</w:t>
      </w:r>
    </w:p>
    <w:p>
      <w:r>
        <w:rPr>
          <w:b/>
        </w:rPr>
        <w:t>E. 8.3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8.3.1</w:t>
      </w:r>
    </w:p>
    <w:p>
      <w:r>
        <w:t>Die allgemeine Lage im Kosovo ist weder von Bürgerkrieg noch von allgemeiner Gewalt gekennzeichnet, so dass der Vollzug der Wegweisung dorthin grundsätzlich zumutbar ist. Zudem gilt der Kosovo, wie erwähnt, als "Safe Country". Wie die Vorinstanz zutreffend ausgeführt hat, verfügt die Beschwerdeführerin in ihrer Heimat mit ihrem jüngeren Bruder, einem Onkel und einer Tante über ein gewisses soziales Beziehungsnetz, das ihr bei der Reintegration Unterstützung bieten kann. Zudem wurde sie nach dem letzten Übergriff durch ihren Vater vom Sozialamt kontaktiert und zu einem persönlichen Gespräch in Gjilan eingeladen. Dabei wurde ihr materielle Hilfe angeboten und empfohlen, in einem Frauenhaus um persönlichen Schutz zu suchen (vgl. Akte 30 F72 ff.). Auf diese Angebote, welche sie damals verzichtet habe, weil sie davon keine genügende Sicherheit erwartet habe, kann sie - allenfalls mit der Unterstützung ihrer Verwandten - bei Bedarf zurückgreifen.</w:t>
      </w:r>
    </w:p>
    <w:p>
      <w:r>
        <w:rPr>
          <w:b/>
        </w:rPr>
        <w:t>E. 8.3.2</w:t>
      </w:r>
    </w:p>
    <w:p>
      <w:r>
        <w:t>Was die gesundheitliche Situation der Beschwerdeführerin betrifft, wurde bei ihr im vorinstanzlichen Verfahren eine Traumafolgestörung diagnostiziert, dies aufgrund der jahrelangen physischen Gewalt durch ihren Vater und Isolation. Deswegen folgten in der Schweiz eine medikamentöse Behandlung und paramedizinische Massnahmen (Atemübungen, Entspannungstechniken). Es wurde eine weiterführende psychiatrisch-psychotherapeutische Behandlung empfohlen (vgl. Akte A27). Zudem wurde die Beschwerdeführerin an die [Beratungsstelle] überwiesen. Im diesbezüglich eingereichten Bericht vom 15. Mai 2020 wird geltend gemacht, dass es der Beschwerdeführerin aufgrund ihrer Erlebnisse (Aufwachsen in Abhängigkeit des gewalttätigen Vaters, in Vernachlässigung und kompletter Isolation sowie sexuelle Übergriffe) nicht möglich sei, in ihrem Heimatland ein Gefühl von Sicherheit aufbauen zu können, was aber für die psychische Genesung zentral wäre. Dazu ist festzuhalten, dass die gesundheitlichen Beeinträchtigungen der Beschwerdeführerin, welche wie von ihr beschrieben, eine schwierige Kindheit bei ihrem gewalttätigen Vater erlebt hat, mit Sicherheit belastend sind. Es ist auch davon auszugehen, dass sie bei einer Rückkehr in den Kosovo möglicherweise nicht von einer gleichwertigen psychotherapeutischen Unterstützung wird profitieren können wie in der Schweiz. Zudem wird sie ihre Mutter, zu der sie in der Schweiz eine Beziehung ha aufbauen können, die zu einer gewissen Stabilität geführt habe, zurücklassen müssen. Indes ist gemäss der Praxis des Bundesverwaltungsgerichts im Kosovo eine ausreichende medizinische Versorgungslage gewährleistet. Zwar weist das kosovarische Gesundheitssystem nicht denselben Standard wie in westeuropäischen Ländern auf. Hingegen muss die Beschwerdeführerin bei einer Rückkehr in ihr Heimatland angesichts der dort bestehenden medizinischen Strukturen keine drastische und lebensbedrohende Verschlechterung ihres Gesundheitszustandes befürchten. Die Gesundheitsversorgung im Kosovo ist gesichert (statt vieler Urteil des BVGer E-545/2018 vom 27. April 2018 E. 6.6). Insbesondere gibt es im Kosovo ein mehrstufiges, nahezu flächendeckendes staatliches psychiatrisches Behandlungssystem (Urteil des BVGer E-5504/2016 vom 6. März 2018 E. 8.3; BVGE 2011/50 E. 8.8.2). Somit ist davon auszugehen, dass die Beschwerdeführerin die in der Schweiz aufgenommene Behandlung respektive die bei der [Beratungsstelle] erfolgten Beratungsgespräche im Kosovo fortsetzen kann. Sie hat auch die Möglichkeit, sich in nächster Zeit allenfalls mit Unterstützung des sie betreuenden Fachpersonen auf eine Rückkehr in den Heimatstaat vorzubereiten. Allfälligen im Vorfeld eines Wegweisungsvollzugs auftretenden psychischen Belastungen kann im Rahmen der Ausgestaltung der konkreten Vollzugsmodalitäten angemessen Rechnung getragen werden. Der Beschwerdeführerin bleibt es zudem unbenommen, für die Anfangsphase ihrer Rückkehr medizinische Rückkehrhilfe in Anspruch zu nehmen (vgl. Urteil des BVGer D-3001/2018 vom 10. April 2019 E. 8.4.4; D-233/2017 vom 9. März 2017 E. 10.8, 10.8.2).</w:t>
      </w:r>
    </w:p>
    <w:p>
      <w:r>
        <w:rPr>
          <w:b/>
        </w:rPr>
        <w:t>E. 8.3.3</w:t>
      </w:r>
    </w:p>
    <w:p>
      <w:r>
        <w:t>Nach dem Gesagten erweist sich der Vollzug der Wegweisung ebenfalls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Indessen wurde mit Verfügung vom 27. Mai 2020 das Gesuch um Gewährung der unentgeltlichen Prozessführung gutgeheissen, womit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