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E-2639/2018 vom 18. Mai 2018</w:t>
      </w:r>
    </w:p>
    <w:p>
      <w:r>
        <w:t>Bundesverwaltungsgericht, 2018-05-18, DE</w:t>
      </w:r>
    </w:p>
    <w:p>
      <w:r>
        <w:rPr>
          <w:b/>
        </w:rPr>
        <w:t xml:space="preserve">Quelle: </w:t>
      </w:r>
      <w:r>
        <w:t>https://mcp.opencaselaw.ch/entscheid/bvger_E-2639_2018</w:t>
      </w:r>
    </w:p>
    <w:p>
      <w:r>
        <w:t>FR: TAF E-2639/2018 du 18 mai 2018</w:t>
      </w:r>
    </w:p>
    <w:p>
      <w:r>
        <w:t>IT: TAF E-2639/2018 del 18 maggio 2018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gutgeheissen, soweit die Aufhebung der angefochtenen Verfügung beantragt worden ist.</w:t>
      </w:r>
    </w:p>
    <w:p>
      <w:r>
        <w:rPr>
          <w:b/>
        </w:rPr>
        <w:t>E. 2</w:t>
      </w:r>
    </w:p>
    <w:p>
      <w:r>
        <w:t>Die Verfügung des SEM vom 13. April 2018 wird aufgehoben. Die Akten werden zur korrekten und vollständigen Feststellung des Sachverhalts und zum neuen Entscheid an die Vorinstanz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SEM wird angewiesen, der Beschwerdeführerin für das Verfahren vor dem Bundesverwaltungsgericht eine Parteientschädigung von Fr. 1158.- auszurichten.</w:t>
      </w:r>
    </w:p>
    <w:p>
      <w:r>
        <w:rPr>
          <w:b/>
        </w:rPr>
        <w:t>E. 5</w:t>
      </w:r>
    </w:p>
    <w:p>
      <w:r>
        <w:t>Dieses Urteil geht an die Beschwerdeführerin, das SEM und die kantonale Migrationsbehörde. Der Einzelrichter: Die Gerichtsschreiberin: Markus König Lhazom Pünkang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