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E-2637/2013 vom 31. Oktober 2013</w:t>
      </w:r>
    </w:p>
    <w:p>
      <w:r>
        <w:t>Bundesverwaltungsgericht, 2013-10-31, FR</w:t>
      </w:r>
    </w:p>
    <w:p>
      <w:r>
        <w:rPr>
          <w:b/>
        </w:rPr>
        <w:t xml:space="preserve">Quelle: </w:t>
      </w:r>
      <w:r>
        <w:t>https://mcp.opencaselaw.ch/entscheid/bvger_E-2637_2013</w:t>
      </w:r>
    </w:p>
    <w:p>
      <w:r>
        <w:t>FR: TAF E-2637/2013 du 31 octobre 2013</w:t>
      </w:r>
    </w:p>
    <w:p>
      <w:r>
        <w:t>IT: TAF E-2637/2013 del 31 ottobre 2013</w:t>
      </w:r>
    </w:p>
    <w:p>
      <w:pPr>
        <w:pStyle w:val="Heading2"/>
      </w:pPr>
      <w:r>
        <w:t>Regeste</w:t>
      </w:r>
    </w:p>
    <w:p>
      <w:r>
        <w:t>Regroupement familial (asile)</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2.1</w:t>
      </w:r>
    </w:p>
    <w:p>
      <w:r>
        <w:t>La seule question à examiner est celle de savoir si c'est à bon droit que l'ODM a rejeté la demande d'autorisation d'entrée en Suisse du recourant en faveur de son amie, B._______, et de leurs trois enfants communs en vue de l'octroi de l'asile familial à ceux-ci au sens de l'art. 51 LAsi.</w:t>
      </w:r>
    </w:p>
    <w:p>
      <w:r>
        <w:rPr>
          <w:b/>
        </w:rPr>
        <w:t>E. 2.2</w:t>
      </w:r>
    </w:p>
    <w:p>
      <w:r>
        <w:t>Selon le premier alinéa de l'art. 51 LAsi (dans sa version en vigueur au moment du prononcé par l'ODM de sa décision du 30 avril 2013), le conjoint ou le partenaire enregistré d'un réfugié et leurs enfants mineurs sont reconnus comme réfugiés et obtiennent l'asile, pour autant qu'aucune circonstance particulière ne s'y oppose. Aux termes du quatrième alinéa de cette même disposition, si les ayants droit définis aux al. 1 et 2 ont été séparés par la fuite et se trouvent à l'étranger, leur entrée en Suisse sera autorisée sur demande. La modification introduite par la loi fédérale du 15 juin 2012 concernant les mesures de lutte contre les mariages forcés, en vigueur depuis le 1er juillet 2013 (RO 2013 1035), quand bien même elle serait applicable au présent cas d'espèce, serait sans conséquences sur sa résolution.</w:t>
      </w:r>
    </w:p>
    <w:p>
      <w:r>
        <w:rPr>
          <w:b/>
        </w:rPr>
        <w:t>E. 2.3</w:t>
      </w:r>
    </w:p>
    <w:p>
      <w:r>
        <w:t>L'octroi de l'asile familial à une personne résidant à l'étranger suppose donc que le parent vivant en Suisse ait été reconnu réfugié et qu'il ait été séparé, en raison de sa fuite, du membre de sa famille encore à l'étranger avec lequel il entend se réunir en Suisse. Cette condition de la séparation par la fuite implique qu'auparavant, le réfugié ait vécu en ménage commun avec la personne aspirant au regroupement familial. En effet, le regroupement familial est destiné à la seule reconstitution en Suisse de groupes familiaux préexistants et non pas à la création de nouvelles communautés familiales. Au demeurant, ce ménage commun doit avoir répondu à une nécessité économique impliquant un rapport de dépendance socio-économique, et non pas seulement à une simple commodité (cf. ATAF 2012/32 consid. 5.1 et 5.4 ; JICRA 2006 no 8 p. 92, JICRA 2006 no 7 consid. 6 et 7 p. 80 ss, JICRA 2001 no 24 p. 188, JICRA 2000 no 27 p. 232, JICRA 2000 no 11 p. 86).</w:t>
      </w:r>
    </w:p>
    <w:p>
      <w:r>
        <w:rPr>
          <w:b/>
        </w:rPr>
        <w:t>E. 2.4</w:t>
      </w:r>
    </w:p>
    <w:p>
      <w:r>
        <w:t>Selon l'art. 1a let. e 2ème phr. OA 1, sont assimilés aux conjoints les partenaires enregistrés et les personnes qui vivent en concubinage de manière durable. Selon la jurisprudence, par concubinage stable, étroit ou qualifié, suivant la terminologie employée, il faut entendre une communauté de vie d'une certaine durée, voire durable, entre deux personnes de sexe opposé, à caractère en principe exclusif, qui présente une composante tant spirituelle que corporelle et économique, et qui est parfois également désignée comme une communauté de toit, de table et de lit ; le juge doit procéder à une appréciation de tous les facteurs déterminants, étant précisé que la qualité d'une communauté de vie s'évalue au regard de l'ensemble des circonstances de la vie commune (cf. ATAF 2012/5 consid. 4.7.1 et réf. cit.).</w:t>
      </w:r>
    </w:p>
    <w:p>
      <w:r>
        <w:rPr>
          <w:b/>
        </w:rPr>
        <w:t>E. 2.5</w:t>
      </w:r>
    </w:p>
    <w:p>
      <w:r>
        <w:t>En l'espèce, le recourant a soutenu avoir entretenu une relation effective avec son amie depuis 2002 jusqu'à son départ du pays en février 2008, de laquelle sont nés trois enfants.</w:t>
      </w:r>
    </w:p>
    <w:p>
      <w:r>
        <w:rPr>
          <w:b/>
        </w:rPr>
        <w:t>E. 2.6</w:t>
      </w:r>
    </w:p>
    <w:p>
      <w:r>
        <w:t>Les allégués du recourant au stade du recours sur l'hébergement depuis longtemps de son amie par sa "famille à Asmara", l'aide financière apportée à celle-ci et à leurs enfants communs et les visites à ceux-ci à chaque autorisation de sortie sont imprécis, voire évasifs. Ils sont également nouveaux, voire divergents d'avec ceux tenus antérieurement devant l'ODM. Ceux selon lesquels il n'a pas pu se marier avec son amie en Erythrée "en raison des difficultés rencontrées sur place", sont eux aussi évasifs et nouveaux, l'accomplissement du service national actif ne constituant de surcroît pas un obstacle au mariage. De tels allégués ne permettent pas d'établir la vraisemblance de l'existence avant la fuite d'un ménage commun ayant répondu à une nécessité économique entre le recourant, son amie et leurs enfants communs. Le recourant n'a d'ailleurs pas véritablement contesté l'absence d'une cohabitation durable ayant répondu à une nécessité économique avec son amie et leurs enfants communs avant sa fuite.</w:t>
      </w:r>
    </w:p>
    <w:p>
      <w:r>
        <w:rPr>
          <w:b/>
        </w:rPr>
        <w:t>E. 2.7</w:t>
      </w:r>
    </w:p>
    <w:p>
      <w:r>
        <w:t>Il a plutôt excipé de raisons majeures liées à l'accomplissement de ses obligations militaires pour prétendre à l'inapplication de l'exigence d'un ménage commun avant sa fuite en 2008. Toutefois, la condition de la "séparation par la fuite" prévue à l'art. 51 al. 4 LAsi, c'est-à-dire celle d'un vécu en ménage commun avant la fuite (cf. JICRA 1994 no 7 consid. 3c) ayant répondu à une nécessité économique (cf. consid. 2.2 ci-avant), doit être respectée et ne souffre d'aucune exception. Il n'y a pas lieu d'étendre l'interprétation restrictive donnée jusqu'à présent à la notion de "séparation par la fuite". Cette première notion ne se recoupe pas avec celle d'une "vie familiale" au sens de l'art. 8 CEDH (qui aurait existé avant la fuite). Seule cette dernière notion, au contraire de la première, peut comprendre des liens personnels étroits en dehors du mariage, exceptionnellement en l'absence même d'une cohabitation (cf. Cour européenne des droits de l'homme [CourEDH], arrêt affaire L. c. Pays-Bas, du 1er juin 2004, no 45582/99, par. 36 à 40, CEDH 2004-IV). D'ailleurs, de jurisprudence constante, en l'absence de réalisation de l'une des conditions fixées à l'art. 51 LAsi, il n'appartient pas aux autorités compétentes en matière d'asile d'examiner l'affaire encore sous l'angle de l'art. 8 CEDH (cf. JICRA 2002 no 6), question qui est du seul ressort des autorités compétentes en matière d'autorisations de séjour au titre du regroupement familial et qui relève du droit ordinaire des étrangers. Par conséquent, sous l'angle de l'art. 51 LAsi, la question ne se pose pas de savoir si la relation du recourant avec son amie et leurs enfants communs préexistante à la fuite peut être qualifiée de "vie familiale" au sens de l'art. 8 CEDH, en dépit de l'absence de cohabitation durable compte tenu de l'astreinte du recourant au service national actif.</w:t>
      </w:r>
    </w:p>
    <w:p>
      <w:r>
        <w:rPr>
          <w:b/>
        </w:rPr>
        <w:t>E. 2.8</w:t>
      </w:r>
    </w:p>
    <w:p>
      <w:r>
        <w:t>Au vu de ce qui précède, le recours doit être rejeté et la décision attaquée confirmée, en tant qu'elle concerne l'amie du recourant et leurs trois enfants communs.</w:t>
      </w:r>
    </w:p>
    <w:p>
      <w:r>
        <w:rPr>
          <w:b/>
        </w:rPr>
        <w:t>E. 3.1</w:t>
      </w:r>
    </w:p>
    <w:p>
      <w:r>
        <w:t>A teneur de l'art. 63 al. 1 PA, les frais de procédure sont mis, dans le dispositif, à la charge de la partie qui succombe. Dans les contestations non pécuniaires, ceux-ci sont fixés selon l'art. 3 du règlement du 21 février 2008 concernant les frais, dépens et indemnités fixés par le Tribunal administratif fédéral (FITAF, RS 173.320.2).</w:t>
      </w:r>
    </w:p>
    <w:p>
      <w:r>
        <w:rPr>
          <w:b/>
        </w:rPr>
        <w:t>E. 3.2</w:t>
      </w:r>
    </w:p>
    <w:p>
      <w:r>
        <w:t>En l'espèce, le recourant ayant succombé, il y a lieu de mettre les frais de procédure, d'un montant de 600 francs, à sa charge. (dispositif :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