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E-2632/2017 vom 12. Mai 2017</w:t>
      </w:r>
    </w:p>
    <w:p>
      <w:r>
        <w:t>Bundesverwaltungsgericht, 2017-05-12, DE</w:t>
      </w:r>
    </w:p>
    <w:p>
      <w:r>
        <w:rPr>
          <w:b/>
        </w:rPr>
        <w:t xml:space="preserve">Quelle: </w:t>
      </w:r>
      <w:r>
        <w:t>https://mcp.opencaselaw.ch/entscheid/bvger_E-2632_2017</w:t>
      </w:r>
    </w:p>
    <w:p>
      <w:r>
        <w:t>FR: TAF E-2632/2017 du 12 mai 2017</w:t>
      </w:r>
    </w:p>
    <w:p>
      <w:r>
        <w:t>IT: TAF E-2632/2017 del 12 maggio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w:t>
      </w:r>
    </w:p>
    <w:p>
      <w:r>
        <w:t>Das Bundesverwaltungsgericht überprüft die angefochtene Verfügung auf Verletzung von Bundesrecht sowie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Auf Asylgesuche ist in der Regel nicht einzutreten, wenn Asylsuchende in einen Drittstaat ausreisen können, der für die Durchführung des Asyl- und Wegweisungsverfahrens staatsvertraglich zuständig ist (Art. 31a Abs. 1 Bst. b AsylG). Zur Anwendung gelangt das Dublin-Assoziierungsabkommen vom 26. Oktober 2004 (DAA, SR 0.142.392.68). Das SEM hat die Zuständigkeitsfrage gestützt auf die Verordnung (EG)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geprüft. Gemäss Art. 3 Abs. 1 Dublin-III-VO ist jeder Asylantrag von einem einzigen Mitgliedstaat zu prüfen, der nach den Kriterien des Kapitels III (Art. 8-15 Dublin-III-VO) als zuständiger Staat bestimmt wird, wobei die einzelnen Bestimmungskriterien in der Reihenfolge ihrer Auflistung im Kapitel III Anwendung finden (Art. 7 Abs. 1 Dublin-III-VO).</w:t>
      </w:r>
    </w:p>
    <w:p>
      <w:r>
        <w:rPr>
          <w:b/>
        </w:rPr>
        <w:t>E. 5</w:t>
      </w:r>
    </w:p>
    <w:p>
      <w:r>
        <w:t>In der angefochtenen Verfügung stellte die Vorinstanz zu Recht fest, aufgrund der Umstände, dass dem Beschwerdeführer von Polen ein Visum ausgestellt worden sei und die polnischen Behörden dem Übernahmegesuch zugestimmt hätten, liege die Zuständigkeit zur Durchführung des Asyl- und Wegweisungsverfahrens bei Polen. Die staatsvertragliche Zuständigkeit Polens steht aufgrund der Akten ohne weiteres fest. Die Einwände des Beschwerdeführers vermögen die Zuständigkeit Polens - wie nachfolgend aufzuzeigen - nicht in Frage zu stellen.</w:t>
      </w:r>
    </w:p>
    <w:p>
      <w:r>
        <w:rPr>
          <w:b/>
        </w:rPr>
        <w:t>E. 6</w:t>
      </w:r>
    </w:p>
    <w:p>
      <w:r>
        <w:t>Soweit der Beschwerdeführer mit der Rechtsmitteleingabe erneut auf seine in der Schweiz lebenden Verwandten - ein Onkel väterlicherseits und eine Tante mütterlicherseits - hinweist, hat die Vorinstanz in zutreffender Weise dargetan, dass diese nicht als Familienangehörige im Sinne von Art. 2 Bst. g Dublin-III-VO gelten und zudem auch kein besonderes Abhängigkeitsverhältnis aufgezeigt wurde, weshalb sich aus deren Anwesenheit keine Zuständigkeit der Schweiz für den Beschwerdeführer ergibt.</w:t>
      </w:r>
    </w:p>
    <w:p>
      <w:r>
        <w:rPr>
          <w:b/>
        </w:rPr>
        <w:t>E. 7</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Aus landesrechtlichen Normen wie etwa Art. 29a Abs. 3 der Asylverordnung 1 vom 11. August 1999 (AsylV 1, SR 142.311) lässt sich gegebenenfalls ein Anspruch auf Selbsteintritt ableiten - etwa aus humanitären Gründen (vgl. BVGE 2010/45 E. 5).</w:t>
      </w:r>
    </w:p>
    <w:p>
      <w:r>
        <w:rPr>
          <w:b/>
        </w:rPr>
        <w:t>E. 8</w:t>
      </w:r>
    </w:p>
    <w:p>
      <w:r>
        <w:t>Der Beschwerdeführer beantragt den Selbsteintritt der Schweiz. Er begründet ihn damit, die meisten Dublin-Rückkehrer würden in Polen inhaftiert. Weiter sei der Zugang zu Rechtsvertretungen erschwert, es fehle an psychologischer und medizinischer Versorgung sowie an einer angemessenen Unterbringung vulnerabler Asylsuchenden und es gäbe viele Übergriffe vor allem auf dunkelhäutige Ausländer. Der Beschwerdeführer kämpfe mit Suizidgedanken und benötige dringend psychologische Betreuung. Als Opfer von Misshandlungen brauche er ein vertrautes Umfeld. Polen ist Signatarstaat der EMRK, des Übereinkommens vom 10. Dezember 1984 gegen Folter und andere grausame, unmenschliche oder erniedrigende Behandlung oder Strafe (FoK, SR 0.105) und des Abkommens vom 28. Juli 1951 über die Rechtsstellung der Flüchtlinge (FK,SR 0.142.30) sowie des Zusatzprotokolls der FK vom 31. Januar 1967 (SR 0.142.301). Ferner gelten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Gemäss konstanter Praxis des Bundesverwaltungsgerichts gilt die Vermutung, dass Polen seinen völker- und EU-rechtlichen Verpflichtungen nachkommt (vgl. statt vieler die Urteile des Bundesverwaltungsgerichts E-32/2016 vom 13. Januar 2016, E-2050/2016 vom 8. April 2016 und D-5514/2016 vom 27. September 2016). Das Rechtsbegehren, es seien bei den polnischen Behörden vorgängig der Überstellung Zusicherungen hinsichtlich der Einhaltung der völkerrechtlichen Verpflichtungen einzuholen, ist deshalb abzuweisen. Die Mitgliedstaaten müssen den Antragstellern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erforderliche medizinische oder sonstige Hilfe (einschliesslich erforderlichenfalls einer geeigneten psychologischen Betreuung) gewähren (Art. 19 Abs. 2 Aufnahmerichtlinie). Eine zwangsweise Rücküberstellung von Personen mit gesundheitlichen Problemen kann überdies nur dann einen Verstoss gegen Art. 3 EMRK darstellen, wenn die betroffenen Personen sich in einem fortgeschrittenen oder terminalen Krankheitsstadium und bereits in Todesnähe befinden (vgl. BVGE 2011/9 E. 7 mit Hinweisen auf die Praxis des Europäischen Gerichtshofs für Menschenrechte [EGMR]), was vorliegend nicht der Fall ist. Mit der Vorinstanz ist zudem davon auszugehen, dass Polen über eine ausreichende medizinische Infrastruktur verfügt und keine Hinweise zu erkennen sind, wonach Polen dem Beschwerdeführer eine adäquate medizinische Behandlung verweigern würde. Was die beanstandeten Mängel im Asylverfahren sowie bei der Unterbringung in Polen betrifft, so ist die Vermutung, dass Polen den entsprechenden Verpflichtungen nachkommt, damit nicht umgestossen. Vielmehr ist der Beschwerdeführer gehalten, sich an die zuständigen polnischen Behörden zu wenden und in Polen Rechtschutz zu suchen. Ferner und gerade, was die im Überweisungsbericht festgestellte aktuelle Suizidgefahr und stationäre Begutachtung des Beschwerdeführers betrifft, sind die schweizerischen Behörden, welche mit dem Vollzug der angefochten Verfügung beauftragt sind, gehalten, den medizinischen Umständen bei der Bestimmung der konkreten Modalitäten der Überstellung des Beschwerdeführers Rechnung zu tragen und die polnischen Behörden vorgängig in geeigneter Weise über die spezifischen medizinischen Umstände zu informieren (Art. 31 f. Dublin-III-VO). Hinsichtlich der befürchteten - rassistisch motivierten - Übergriffe gegen asylsuchende Personen in Polen ist festzustellen, dass die polnischen Behörden willens und in der Lage sind, dem Beschwerdeführer den nötigen Schutz zu gewähren. Schliesslich hat der Beschwerdeführer auch nicht aufgezeigt, weshalb gerade er zu befürchten hätte, in Polen inhaftiert zu werden. Nach dem Gesagten hat die Vorinstanz beim Entscheid, ihr Selbsteintrittsrecht nicht auszuüben, keinen Ermessensfehler begangen. Demnach hat die Vorinstanz die Zuständigkeit Polens zu Recht festgestellt, ist auf die Asylgesuche in Anwendung von Art. 31a Abs. 1 Bst. b AsylG nicht eingetreten und hat die Wegweisung nach Polen angeordnet.</w:t>
      </w:r>
    </w:p>
    <w:p>
      <w:r>
        <w:rPr>
          <w:b/>
        </w:rPr>
        <w:t>E. 9</w:t>
      </w:r>
    </w:p>
    <w:p>
      <w:r>
        <w:t>Aus diesen Erwägungen folgt, dass die angefochtene Verfügung Bundesrecht nicht verletzt und auch sonst nicht zu beanstanden ist (Art. 106 Abs. 1 AsylG). Die Beschwerde ist abzuweisen.</w:t>
      </w:r>
    </w:p>
    <w:p>
      <w:r>
        <w:rPr>
          <w:b/>
        </w:rPr>
        <w:t>E. 10</w:t>
      </w:r>
    </w:p>
    <w:p>
      <w:r>
        <w:t>Die gestellten Rechtsbegehren erweisen sich nach dem Gesagten als aussichtslos, weshalb das Gesuch um unentgeltliche Rechtspflege gemäss Art. 65 Abs. 1 VwVG - ungeachtet einer allfälligen prozessualen Bedürftigkeit - abzuweisen ist. Mit dem vorliegenden Entscheid sind die übrigen Prozessanträge, namentlich der Antrag um vorsorgliche Aussetzung des Vollzugs, gegenstandslos geworden.</w:t>
      </w:r>
    </w:p>
    <w:p>
      <w:r>
        <w:rPr>
          <w:b/>
        </w:rPr>
        <w:t>E. 11</w:t>
      </w:r>
    </w:p>
    <w:p>
      <w:r>
        <w:t>Bei diesem Ausgang des Verfahrens sind die Kosten von Fr. 750.- (Art. 1-3 des Reglements vom 21. Februar 2008 über die Kosten und Entschädigungen vor dem Bundesverwaltungsgericht [VGKE, SR 173.320.2])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