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E-2631/2019 vom 15. Oktober 2020</w:t>
      </w:r>
    </w:p>
    <w:p>
      <w:r>
        <w:t>Bundesverwaltungsgericht, 2020-10-15, DE</w:t>
      </w:r>
    </w:p>
    <w:p>
      <w:r>
        <w:rPr>
          <w:b/>
        </w:rPr>
        <w:t xml:space="preserve">Quelle: </w:t>
      </w:r>
      <w:r>
        <w:t>https://mcp.opencaselaw.ch/entscheid/bvger_E-2631_2019</w:t>
      </w:r>
    </w:p>
    <w:p>
      <w:r>
        <w:t>FR: TAF E-2631/2019 du 15 octobre 2020</w:t>
      </w:r>
    </w:p>
    <w:p>
      <w:r>
        <w:t>IT: TAF E-2631/2019 del 15 ottobre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 die sich lediglich auf die Zuerkennung der originären Flüchtlingseigenschaft und die Gewährung von Asyl beschränkt -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wenn sie mit beachtlicher Wahrscheinlichkeit und in absehbarer Zukunft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genannten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3.2</w:t>
      </w:r>
    </w:p>
    <w:p>
      <w:r>
        <w:t>Das Bundesverwaltungsgericht hat die Anforderungen an das Glaubhaftmachen der Vorbringen in verschiedenen Entscheiden dargelegt und folgt dabei ständiger Praxis. Darauf kann hier verwiesen werden (vgl. BVGE 2015/3 E. 6.5.1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führte die Vorinstanz im Wesentlichen aus, dass die Vorbringen der Beschwerdeführerin den Anforderungen an die (originäre) Flüchtlingseigenschaft nach Art. 3 AsylG nicht standhalten würden. So habe sie ausgeführt, sie sei wegen der Teilnahme ihrer Kinder an Demonstrationen mehrmals von den Behörden zu Hause aufgesucht und einmal mit einer Waffe bedroht worden. Die Behördenmitglieder hätten jedoch nach ihren Kindern und nicht nach ihr selbst gesucht. Da sie mithin nicht Ziel der Verfolgung gewesen sei, sei dieses Vorbringen nicht asylrelevant. Zwar habe das Halten einer Waffe an ihre Schläfe sicher einen äusserst bedrohlichen Charakter, dies erreiche jedoch die für die Erfüllung der Flüchtlingseigenschaft geforderte Intensität nicht. Dasselbe gelte auch für die telefonischen Drohungen und die allfällige Verfolgung im Auto. Soweit die Beschwerdeführerin weiter erklärt habe, die allgemeine Lage sei schwierig gewesen, handle es sich dabei um Nachteile, die auf den dortigen Bürgerkrieg zurückzuführen seien. Auch diese Vorbringen seien mithin nicht asylrelevant.</w:t>
      </w:r>
    </w:p>
    <w:p>
      <w:r>
        <w:rPr>
          <w:b/>
        </w:rPr>
        <w:t>E. 4.2</w:t>
      </w:r>
    </w:p>
    <w:p>
      <w:r>
        <w:t>Die Beschwerdeführerin hielt dem in der Beschwerde entgegen, dass die Vorinstanz mit ihrer Begründung das Bestehen einer Reflexverfolgung ignoriere. Dass sowohl die syrischen Behörden als auch die übrigen Konfliktparteien die Strategie der Reflexverfolgung anwenden würden, sei bekannt. Das unmittelbare Richten einer Waffe auf eine Person sei als Folter und somit als ernsthafter Nachteil im Sinne von Art. 3 EMRK zu werten. Darüber hinaus sei vorliegend auch ein unerträglicher psychischer Druck zu bejahen, indem die syrischen Sicherheitsbehörden mehrmals zu jeder Tages- und Nachtzeit bei ihr zu Hause vorbeigekommen seien, ihr Eigentum zerstört hätten und sie Todesangst um sich und das Leben ihrer Tochter gehabt habe. Ausserdem habe sie Syrien wenige Tage nach der letzten Behelligung durch die Behörden verlassen, ansonsten wären die Hausdurchsuchungen sicherlich weitergegangen. Selbst wenn die Ereignisse mittlerweile mehrere Jahre zurückliegen würden, sei angesichts der aktuellen Situation in Syrien noch immer davon auszugehen, dass Oppositionelle und ihre Angehörigen weiterhin in asylrelevanter Weise verfolgt würden. Es sei im Übrigen zu beachten, dass ihrer Tochter B._______ mit Verfügung vom 12. September 2014 unter Zuerkennung der Flüchtlingseigenschaft Asyl in der Schweiz gewährt worden sei. Sie, die Beschwerdeführerin, sei ausserdem aufgrund der Ereignisse gesundheitlich stark angeschlagen.</w:t>
      </w:r>
    </w:p>
    <w:p>
      <w:r>
        <w:rPr>
          <w:b/>
        </w:rPr>
        <w:t>E. 5.1</w:t>
      </w:r>
    </w:p>
    <w:p>
      <w:r>
        <w:t>Zunächst ist festzuhalten, dass die Ausführungen der Beschwerdeführerin an den Anhörungen durchgehend schlüssig und substanziiert ausgefallen sind, von zahlreichen Realkennzeichen geprägt sind und insgesamt als plausibel und mithin glaubhaft im Sinne von Art. 7 AsylG zu beurteilen sind (vgl. act. B11/18 F16 ff., F27 ff., F43 ff., F61 ff.). Etwas Gegenteiliges wird auch von der Vorinstanz nicht angenommen. Ausserdem werden ihre Vorbringen durch die Aussagen ihres zwischenzeitlich verstorbenen Ehemannes und ihrer Tochter B._______ gestützt, die beide in der Schweiz ein Asylverfahren durchlaufen haben (vgl. act. A21/29 [Anhörungsprotokoll Ehemann], N [...] act. A36/16 [Anhörungsprotokoll Tochter]).</w:t>
      </w:r>
    </w:p>
    <w:p>
      <w:r>
        <w:rPr>
          <w:b/>
        </w:rPr>
        <w:t>E. 5.2</w:t>
      </w:r>
    </w:p>
    <w:p>
      <w:r>
        <w:t>Soweit die Vorinstanz argumentiert, den von der Beschwerdeführerin erlittenen Nachteilen mangle es an Intensität und Gezieltheit, weswegen die Asylrelevanz zu verneinen sei, kann dem nicht gefolgt werden.</w:t>
      </w:r>
    </w:p>
    <w:p>
      <w:r>
        <w:rPr>
          <w:b/>
        </w:rPr>
        <w:t>E. 5.3</w:t>
      </w:r>
    </w:p>
    <w:p>
      <w:r>
        <w:t>Erstrecken sich Verfolgungsmassnahmen neben den primär betroffenen Personen auf Familienangehörige und Verwandte, sind diese unter dem Aspekt der Reflexverfolgung zu beurteilen (BVGE 2007/19 E. 3.3 S. 225 mit Hinweisen). Eine Reflexverfolgung liegt dann vor, wenn staatliche Akteure im Kampf gegen oppositionelle Kräfte anstelle des politischen Gegners, dessen sie nicht habhaft werden können, auf Personen zurückzugreifen, die diesem nahestehen. Die Wahrscheinlichkeit, Opfer einer Reflexverfolgung zu werden, besteht vor allem dann, wenn nach einem flüchtigen Familienmitglied gefahndet wird und die Behörde Anlass zur Vermutung hat, dass zur gesuchten Person ein enger Kontakt besteht. Diese Wahrscheinlichkeit erhöht sich, wenn ein nicht unbedeutendes politisches Engagement der reflexverfolgten Person hinzukommt oder ihr unterstellt wird (vgl. EMARK 2005 Nr. 21 E. 10.1). Eine Reflexverfolgung ist dann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in einem solchen Kontext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E-2734/2015 vom 16. April 2018 E. 4.3.1 mit weiterem Verweis auf Urteil E-3738/2006 vom 5. Februar 2009 E. 5.3.1).</w:t>
      </w:r>
    </w:p>
    <w:p>
      <w:r>
        <w:rPr>
          <w:b/>
        </w:rPr>
        <w:t>E. 5.4</w:t>
      </w:r>
    </w:p>
    <w:p>
      <w:r>
        <w:t>Die in Syrien herrschende politische und menschenrechtliche Lage wurde durch das Bundesverwaltungsgericht ausführlich gewürdigt (vgl. BVGE 2015/3 E. 6.2 sowie Urteil des BVGer D-5779/2013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regimekritisch betätigen,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hat auch heute noch Gültigkeit (vgl. Urteil des BVGer E-2188/2019 vom 30. Juni 2020 E. 5.3 [zur Publikation vorgesehen]). Die Verfolgung von Angehörigen vermeintlicher oder tatsächlicher politischer Oppositioneller durch die syrischen Behörden ist durch umfangreiche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namentlich die syrische Armee, die syrischen Sicherheitskräfte und regierungsfreundliche Milizen, setzen dabei die Strategie der Reflexverfolgung gezielt ein (vgl. Urteil des BVGer E-734/2016 vom 14. Januar 2019 E. 7.2 sowie u.a. UNHCR, International Protection Considerations with regard to people fleeing the Syrian Arab Republic, Update III, vom 27.10.2014 sowie entsprechendes Update V vom 03.11.2017, https://www.refworld.org/pdf id/59f365034.pdf, abgerufen am 30.09.2020).</w:t>
      </w:r>
    </w:p>
    <w:p>
      <w:r>
        <w:rPr>
          <w:b/>
        </w:rPr>
        <w:t>E. 5.5</w:t>
      </w:r>
    </w:p>
    <w:p>
      <w:r>
        <w:t>Die Beschwerdeführerin hat glaubhaft gemacht, dass zwei ihrer Kinder sich im Heimatstaat politisch engagiert und in Damaskus an Demonstrationen teilgenommen haben, weswegen sie von den syrischen Sicherheitskräften gesucht wurden. Ihre Tochter B._______ hat aufgrund ihres politischen Engagements in Syrien in der Schweiz unter Zuerkennung der Flüchtlingseigenschaft Asyl erhalten. Ihr Sohn hält sich im Libanon auf. Auch ihr mittlerweile verstorbener Ehemann, der geltend machte, sich nach Jahrzehnten im Dienst der syrischen Armee gegen das Regime Assads gestellt zu haben, wurde vom SEM als Flüchtling anerkannt, aufgrund seiner Tätigkeiten für das Militär jedoch für asylunwürdig erachtet. Nach der Ausreise ihrer beiden oppositionell tätigen Kinder haben die Beschwerdeführerin und ihr Ehemann mit ihrer jüngeren Tochter F._______ noch für weitere zwei Jahre in Damaskus gelebt. Während dieser Zeit wurde sie von den syrischen Behörden mehrfach zu Hause aufgesucht und bedroht. Die Schilderungen der Beschwerdeführerin über die Umstände und das Ausmass der gegen sie gerichteten Bedrohung bis zur Ausreise werden weder von der Vorinstanz noch vom Gericht in Frage gestellt. So schilderte die Beschwerdeführerin an der Anhörung einlässlich, dass die Besuche der Sicherheitsbehörden überfallmässig erfolgt seien. Sie habe sich sehr um das Leben ihrer Tochter und ihr eigenes gefürchtet, zumal ihr anlässlich des letzten Besuchs der Sicherheitskräfte eine geladene Waffe an die Schläfe gehalten und ihre Tochter mit einer Kalaschnikow geschlagen worden sei (vgl. act. B11/18 F43, F45, F52 ff., F62). Die Schilderungen stehen in einem engen sachlichen Kontext zum Asylvorbringen der beiden Familienmitglieder. Eine Konsultation der Verfahrensakten ergibt ein übereinstimmendes Bild, dass es sich bei der Familie der Beschwerdeführerin um eine solche handelt, die in den Fokus der Sicherheitsbehörden geraten ist. Unter Würdigung dieser Umstände geht das Bundesverwaltungsgericht davon aus, dass die Beschwerdeführerin im Heimatstaat zum Zeitpunkt ihrer Ausreise bereits Vorverfolgungsmassnahmen seitens syrischer Sicherheitskräfte in dem von ihr beschriebenen Ausmass erlitten hat. Diese waren gezielt gegen die Beschwerdeführerin gerichtet und auch von einer relevanten Intensität. Die von der Beschwerdeführerin geäusserte Befürchtung, bei einem Verbleib im Heimatstaat wären sie und ihre jüngste Tochter weiteren Verfolgungshandlungen durch das syrische Regime ausgesetzt worden, scheint objektiv begründet. Dass ein solches Interesse der syrischen Behörden an der Beschwerdeführerin auch im Falle ihrer Rückkehr weiterhin besteht, ist angesichts der nach wie vor unveränderten Verhältnisse in Bezug auf die Repressionen der syrischen Regierung gegenüber Oppositionellen und ihren Familien von hoher Wahrscheinlichkeit. Diese Annahme rechtfertigt sich vorliegend umso mehr, als das SEM im Falle des zwischenzeitlich verstorbenen Ehemannes, der ein Militärangehöriger war, davon ausging, er habe durch seine Ausreise aus dem Heimatstaat im Oktober 2014 weitere Fluchtgründe gesetzt.</w:t>
      </w:r>
    </w:p>
    <w:p>
      <w:r>
        <w:rPr>
          <w:b/>
        </w:rPr>
        <w:t>E. 6</w:t>
      </w:r>
    </w:p>
    <w:p>
      <w:r>
        <w:t>Aus den vorstehenden Erwägungen ergibt sich, dass die Beschwerdeführerin die Flüchtlingseigenschaft im Sinne von Art. 3 AsylG originär erfüllt. Die Beschwerde ist gutzuheissen, die angefochtene Verfügung ist aufzuheben, und das SEM ist anzuweisen, der Beschwerdeführerin in der Schweiz Asyl zu gewähren.</w:t>
      </w:r>
    </w:p>
    <w:p>
      <w:r>
        <w:rPr>
          <w:b/>
        </w:rPr>
        <w:t>E. 6.1</w:t>
      </w:r>
    </w:p>
    <w:p>
      <w:r>
        <w:t>Bei diesem Ausgang des Verfahrens sind keine Kosten zu erheben (Art. 63 Abs. 1 und 2 VwVG). Der mit Zwischenverfügung vom 6. Juni 2019 gutgeheissene Antrag auf Gewährung der unentgeltlichen Rechtspflege gemäss Art. 65 Abs. 1 VwVG wird damit gegenstandslos.</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mit der Beschwerde eingereichte Kostennote weist einen zeitlichen Aufwand von 6.25 Stunden zu einem Stundenansatz von Fr. 200.- sowie Barauslagen von Fr. 70.- auf. Dies scheint angemessen. Die von der Vorinstanz auszurichtende Parteientschädigung beläuft sich demnach auf Fr. 1'320.-.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