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E-262/2016 vom 27. Juli 2016</w:t>
      </w:r>
    </w:p>
    <w:p>
      <w:r>
        <w:t>Bundesverwaltungsgericht, 2016-07-27, DE</w:t>
      </w:r>
    </w:p>
    <w:p>
      <w:r>
        <w:rPr>
          <w:b/>
        </w:rPr>
        <w:t xml:space="preserve">Quelle: </w:t>
      </w:r>
      <w:r>
        <w:t>https://mcp.opencaselaw.ch/entscheid/bvger_E-262_2016</w:t>
      </w:r>
    </w:p>
    <w:p>
      <w:r>
        <w:t>FR: TAF E-262/2016 du 27 juillet 2016</w:t>
      </w:r>
    </w:p>
    <w:p>
      <w:r>
        <w:t>IT: TAF E-262/2016 del 27 luglio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Das am (...) 2016 geborene Kind (vgl. Rubrum und Prozessgeschichte Bst. O) ist in das vorliegende Beschwerdeverfahren miteinzubeziehen.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Dem Abgleich mit der europäischen Fingerabdruck-Datenbank (Eurodac) ist zu entnehmen, dass die Beschwerdeführerin am 10. Juli 2015 in Österreich um Asyl ersucht hatte. Am 12. November 2015 ersuchte das SEM die österreichischen Behörden gestützt auf Art. 18 Abs. 1 Bst. b Dublin-III-VO um Wiederaufnahme der Beschwerdeführerin. Österreich hiess das Gesuch am 18. November 2015 gut. Die grundsätzliche Zuständigkeit Österreichs wurde denn auch weder im Rahmen der Gewährung des rechtlichen Gehörs noch in der Beschwerdeschrift bestritten, weshalb Österreich für die Durchführung des vorliegenden Asyl- und Wegweisungsverfahrens grundsätzlich zuständig ist.</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Solche wesentlichen Gründe werden weder vorgetragen noch sind sie notorisch, weshalb die Anwendung von Art. 3 Abs. 2 Dublin-III-VO im vorliegenden Fall nicht gerechtfertigt erscheint.</w:t>
      </w:r>
    </w:p>
    <w:p>
      <w:r>
        <w:rPr>
          <w:b/>
        </w:rPr>
        <w:t>E. 6.1</w:t>
      </w:r>
    </w:p>
    <w:p>
      <w:r>
        <w:t>Weiter ist der Frage nachzugehen, ob für die Beschwerdeführerin (und ihr Kind) in einer individuellen Betrachtung ein Anspruch aus Art. 8 EMRK aufgezeigt ist, woraus sich - abweichend von Art. 3 Abs. 1 Dublin-III-VO - zwingende Gründe für die Ausübung der Ermessensklausel und für einen Selbsteintritt nach Art. 17 Abs. 1 Dublin-III-VO ergeben würden. Namentlich hat der befasste Staat, wenn die Einheit der Familie gemäss der Definition in Art. 8 EMRK durch den Entscheid, auf ein Asylgesuch nicht einzu­treten und den betroffenen Asylsuchenden an den grundsätzlich zuständigen Staat zu überstellen, gefährdet ist, die völkerrechtliche Pflicht die Souveränitätsklausel anzu­wenden. In einem solchen Fall besteht ein einklagbarer Anspruch auf Ausübung des Selbsteintrittsrechts (BVGE 2013/24 E. 5).</w:t>
      </w:r>
    </w:p>
    <w:p>
      <w:r>
        <w:rPr>
          <w:b/>
        </w:rPr>
        <w:t>E. 6.2</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Unter gewissen Umständen lässt sich daraus ein Anspruch auf Erteilung einer Anwesenheitsbewilligung ableiten, da ein Eingriff in den Schutzbereich von Art. 8 Ziff. 1 EMRK vorliegen kann, wenn einer ausländischen Person, deren Familienangehörige hier weilen, die Anwesenheit in der Schweiz untersagt und damit das Familienleben vereitelt wird. Voraussetzung für die Anwendbarkeit des Rechts auf Achtung des Familienlebens ist das Bestehen einer Familie, worunter zunächst die sogenannte Kernfamilie, d.h. ein verheiratetes Paar mit oder ohne minderjährige Kinder, zu verstehen ist. Die Beziehung muss tatsächlich gelebt werden und intakt sein (vgl. Peter Uebersax, Die EMRK und das Migrationsrecht aus der Sicht der Schweiz, in: EMRK und die Schweiz, Ehrenzeller/Breitenmoser [Hrsg.], St. Gallen 2010, S. 219). Gemäss eigenen Angaben sei der Ehemann der Beschwerdeführerin Mitte Januar 2015 in die Türkei gereist, wo sie am (...) Januar 2015 religiös getraut worden seien. Danach sei er wieder in die Schweiz zurückgereist und die Beschwerdeführerin sei ihm später auf dem Landweg via Österreich gefolgt, um mit ihm hier zusammenzuleben. Am (...) Oktober 2015 habe in der Schweiz eine grosse religiöse Heiratszeremonie und -feier stattgefunden. Am 12. Januar 2016 hätten die Beschwerdeführerin und ihr Ehemann ein formelles Ehevorbereitungsverfahren beim Zivilstandsamt D._______ eingeleitet. Den Akten ist sodann zu entnehmen, dass die beiden schliesslich am (...) 2016 in der Schweiz geheiratet haben. Am (...) 2016 kam [ihr gemeinsames Kind] zur Welt. Demnach liegt im Falle der Beschwerdeführerin, ihres Ehemann und des gemeinsamen Kindes eine (Kern-)Familie vor. Zudem wird glaubhaft eine nahe, echte sowie gelebte Beziehung in einem gemeinsamen Haushalt geltend gemacht, welche den Kriterien eines Familienlebens im Sinne von Art. 8 EMRK entspricht.</w:t>
      </w:r>
    </w:p>
    <w:p>
      <w:r>
        <w:rPr>
          <w:b/>
        </w:rPr>
        <w:t>E. 6.3</w:t>
      </w:r>
    </w:p>
    <w:p>
      <w:r>
        <w:t>Ferner muss der sich hier aufhaltende Familienangehörige gemäss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 Das Bundesverwaltungsgericht hat sich im Zusammenhang mit Dublin-Verfahren dieser Praxis ausdrücklich angeschlossen (BVGE 2013/24 E. 5.2). Aufgrund der vorliegenden Aktenlage steht fest, dass der Ehemann der Beschwerdeführerin beziehungsweise der Vater ihres Kindes als anerkannter Flüchtling mit Asyl einen Anspruch auf Erteilung und Verlängerung einer Aufenthaltsbewilligung hat. Sein Aufenthaltsstatus in der Schweiz entspricht mithin einem gefestigten Aufenthaltsrecht im Sinne der bundesgerichtlichen Praxis.</w:t>
      </w:r>
    </w:p>
    <w:p>
      <w:r>
        <w:rPr>
          <w:b/>
        </w:rPr>
        <w:t>E. 6.4</w:t>
      </w:r>
    </w:p>
    <w:p>
      <w:r>
        <w:t>Folglich kann sich die Beschwerdeführerin grundsätzlich auf Art. 8 EMRK berufen. Eine Überstellung nach Österreich wäre demnach mit dieser Bestimmung nicht vereinbar. Die Voraussetzungen für einen völkerrechtlich gebotenen Selbsteintritt der Schweiz sind somit gegeben.</w:t>
      </w:r>
    </w:p>
    <w:p>
      <w:r>
        <w:rPr>
          <w:b/>
        </w:rPr>
        <w:t>E. 6.5</w:t>
      </w:r>
    </w:p>
    <w:p>
      <w:r>
        <w:t>Der Vollständigkeit halber ist im Übrigen an dieser Stelle auf die Systematik der Dublin-III-VO zu verweisen, aus der sich ergibt, dass ein Nichteintretensentscheid und die Anordnung einer Wegweisung beziehungsweise Überstellung im Rahmen eines Dublin-Entscheids untrennbar miteinander verknüpft sind. Es besteht kein Raum für eine getrennte Betrachtung; praxisgemäss ist das Fehlen von Überstellungshindernissen bereits Voraussetzung des Nichteintretensentscheids; wenn demgegenüber Überstellungshindernisse vorliegen, kann kein Nichteintretensentscheid ergehen (BVGE 2010/45 E. 10.2). Nachdem die Beschwerdeführerin, wie oben festgehalten, sich grundsätzlich - im Sinne einer vorfrageweisen Prüfung des entsprechenden Anspruchs - auf einen Anspruch auf Erteilung einer fremdenpolizeilichen Bewilligung berufen kann (vgl. oben E. 6.2 - 6.4) und das entsprechende Gesuch bei der zuständigen kantonalen Behörde eingereicht worden ist (vgl. oben Bst. O), liegt die Kompetenz der Aufenthaltsregelung beziehungsweise der Wegweisung nicht mehr bei den Bundes-Asylbehörden, sondern bei der kantonalen Behörde, und die in einem Asylverfahren verfügte Wegweisung ist aufzuheben (vgl. BVGE 2013/37 E. 4.4).</w:t>
      </w:r>
    </w:p>
    <w:p>
      <w:r>
        <w:rPr>
          <w:b/>
        </w:rPr>
        <w:t>E. 7</w:t>
      </w:r>
    </w:p>
    <w:p>
      <w:r>
        <w:t>Nach dem Gesagten ist die Beschwerde gutzuheissen und die Verfügung des SEM vom 5. Januar 2016 aufzuheben. Die Vorinstanz wird angewiesen, sich für das Asylverfahren der Beschwerdeführerin und ihres Kindes zuständig zu erklären und das nationale Verfahren durchzuführen (unter Berücksichtigung des Schreibens des Rechtsvertreters vom 4. Juli 2016 an das SEM [das Kind] der Beschwerdeführerin betreffend; vgl. Prozessgeschichte Bst. Q). Für die Anordnung einer allfälligen Wegweisung ist indessen, da derzeit ein Gesuch beim Migrationsamt hängig ist, wie erwähnt der Kanton zuständig.</w:t>
      </w:r>
    </w:p>
    <w:p>
      <w:r>
        <w:rPr>
          <w:b/>
        </w:rPr>
        <w:t>E. 8.1</w:t>
      </w:r>
    </w:p>
    <w:p>
      <w:r>
        <w:t>Bei diesem Ausgang des Verfahrens sind keine Kosten zu erheben (Art. 63 Abs. 1 und 2 VwVG), wodurch die entsprechenden Gesuche obsolet werden.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2. Juni 2016 ausgewiesene Vertretungsaufwand (zeitlicher Aufwand von 6.3 Stunden zu einem Stundenansatz von Fr. 250.-) ist als angemessen zu werten beziehungsweise um die Eingabe vom 6. Juni 2016 zu ergänzen. Die angemessenen Auslagen sind in der Höhe von Fr. 34.90 zu vergüten. Die von der Vorinstanz auszurichtende Parteientschädigung ist somit auf insgesamt Fr. 1'873.70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