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E-2629/2017 vom 10. Juli 2017</w:t>
      </w:r>
    </w:p>
    <w:p>
      <w:r>
        <w:t>Bundesverwaltungsgericht, 2017-07-10, FR</w:t>
      </w:r>
    </w:p>
    <w:p>
      <w:r>
        <w:rPr>
          <w:b/>
        </w:rPr>
        <w:t xml:space="preserve">Quelle: </w:t>
      </w:r>
      <w:r>
        <w:t>https://mcp.opencaselaw.ch/entscheid/bvger_E-2629_2017</w:t>
      </w:r>
    </w:p>
    <w:p>
      <w:r>
        <w:t>FR: TAF E-2629/2017 du 10 juillet 2017</w:t>
      </w:r>
    </w:p>
    <w:p>
      <w:r>
        <w:t>IT: TAF E-2629/2017 del 10 luglio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w:t>
      </w:r>
    </w:p>
    <w:p>
      <w:r>
        <w:t>Dans son acte de recours, A._______ a conclu formellement, pour la première fois, à la reconnaissance de son statut d'apatride, du fait de sa qualité de Kurde makthoum, qui l'empêche de se voir reconnaître la nationalité syrienne. Le Tribunal ne peut cependant, en l'état, statuer sur cette question. En effet, elle n'a jamais été examinée par le SEM, et ne fait donc pas l'objet du présent litige. De plus, elle relève d'une procédure spécifique, qu'il appartient à l'intéressé d'engager, en application des dispositions de la Convention du 28 septembre 1954 relative au statut des apatrides (RS 0.142.40) (cf. à ce sujet ATAF 2014/5 consid. 10 p. 112-115).</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le sérieux et la pertinence de ses motifs.</w:t>
      </w:r>
    </w:p>
    <w:p>
      <w:r>
        <w:rPr>
          <w:b/>
        </w:rPr>
        <w:t>E. 4.2</w:t>
      </w:r>
    </w:p>
    <w:p>
      <w:r>
        <w:t>En effet, il ressort de ses dires qu'il a quitté la Syrie avant tout en raison des brimades et des entraves à la vie quotidienne qu'entraînait son appartenance au groupe des Makhtoumin. Le Tribunal a eu, en de multiples occasions, à examiner la situation particulière de cette communauté (cf. notamment arrêts E-3155/2016 du 28 avril 2017, consid. 5.6.2 ; F-5127/2014 du 8 septembre 2016, consid. 6, et réf. citées). Ne possédant ni nationalité ni statut déterminé, exclus de la propriété foncière et des activités commerciales légales, ils ne peuvent obtenir aucun document d'identité, et difficilement des pièces d'état civil (le mariage avec des nationaux syriens étant ainsi empêché de fait). Ils ne peuvent recevoir que des attestations délivrées par le « mukhtar » de leur commune, telles que celles que le recourant a produites. Leur accès aux soins et aux services administratifs est limité. Ces diverses restrictions les entravent dans leur vie courante, et ils doivent faire face à de nombreuses discriminations de la part de l'Etat syrien. Cela étant, le traitement qui leur est appliqué par les autorités ne constitue pas pour autant une persécution au sens de l'art. 3 al. 1 LAsi, faute d'intensité, et la communauté des Makhtoumin ne peut être tenue pour victime d'une persécution collective, l'appréciation des situations individuelles restant bien entendu réservée.</w:t>
      </w:r>
    </w:p>
    <w:p>
      <w:r>
        <w:rPr>
          <w:b/>
        </w:rPr>
        <w:t>E. 4.3</w:t>
      </w:r>
    </w:p>
    <w:p>
      <w:r>
        <w:t>S'agissant du risque de mobilisation dans l'armée syrienne ou les rangs des Apochis, et des sanctions frappant les réfractaires, le Tribunal rappelle que de telles sanctions ne constituent pas un motif d'asile (art. 3 al. 3 LAsi) ; ce ne serait le cas, s'agissant de l'armée syrienne, que des personnes déjà repérées comme favorables à l'opposition (ATAF 2015/3 p. 32ss), ce qui n'est pas le cas du recourant. En tout état de cause, il n'est pas vraisemblable que l'armée soit en mesure de recruter dans les territoires contrôlés par le PYD, et cette éventualité, en ce qui concerne l'intéressé, ne s'est pas concrétisée. Quant au recrutement au sein des milices du PYD, à supposer que ce risque soit avéré, rien ne permet de retenir que les sanctions éventuelles en découlant revêtiraient le caractère d'une persécution (cf. ATAF 2015/3 déjà cité et arrêt D-5329/2014 du 23 juin 2015, consid. 5.3 et réf. citées).</w:t>
      </w:r>
    </w:p>
    <w:p>
      <w:r>
        <w:rPr>
          <w:b/>
        </w:rPr>
        <w:t>E. 4.4</w:t>
      </w:r>
    </w:p>
    <w:p>
      <w:r>
        <w:t>Il s'ensuit que le recours, en tant qu'il conteste le refus de l'asile, doit être rejeté.</w:t>
      </w:r>
    </w:p>
    <w:p>
      <w:r>
        <w:rPr>
          <w:b/>
        </w:rPr>
        <w:t>E. 5</w:t>
      </w:r>
    </w:p>
    <w:p>
      <w:r>
        <w:t>Dès lors, la décision attaquée ne viole pas le droit fédéral et a établi de manière exacte et complète l'état de fait pertinent (art. 106 al. 1 LAsi). En conséquence, le recours est rejeté.</w:t>
      </w:r>
    </w:p>
    <w:p>
      <w:r>
        <w:rPr>
          <w:b/>
        </w:rPr>
        <w:t>E. 6</w:t>
      </w:r>
    </w:p>
    <w:p>
      <w:r>
        <w:t>L'assistance judiciaire partielle ayant été accordée,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