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E-2620/2011 vom 16. Mai 2011</w:t>
      </w:r>
    </w:p>
    <w:p>
      <w:r>
        <w:t>Bundesverwaltungsgericht, 2011-05-16, DE</w:t>
      </w:r>
    </w:p>
    <w:p>
      <w:r>
        <w:rPr>
          <w:b/>
        </w:rPr>
        <w:t xml:space="preserve">Quelle: </w:t>
      </w:r>
      <w:r>
        <w:t>https://mcp.opencaselaw.ch/entscheid/bvger_E-2620_2011</w:t>
      </w:r>
    </w:p>
    <w:p>
      <w:r>
        <w:t>FR: TAF E-2620/2011 du 16 mai 2011</w:t>
      </w:r>
    </w:p>
    <w:p>
      <w:r>
        <w:t>IT: TAF E-2620/2011 del 16 maggio 2011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 werden dem Beschwerdeführer auf­erlegt. Dieser Betrag ist innert 30 Tagen ab Versand des Urteils zu Guns­ten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zustän­dige kantonale Behörde. Der vorsitzende Richter: Die Gerichtsschreiberin: Walter Stöckli Esther Karpathakis Versand:</w:t>
      </w:r>
    </w:p>
    <w:p>
      <w:r>
        <w:rPr>
          <w:b/>
        </w:rPr>
        <w:t>E. 4</w:t>
      </w:r>
    </w:p>
    <w:p>
      <w:r>
        <w:t>Zustellung erfolgt an: - den Beschwerdeführer durch Vermittlung des Empfangs- und Ver-fahrenszentrum Kreuzlingen (Einschreiben; Beilage: Einzahlungs-schein) - das BFM, Empfangs- und Verfahrenszentrum Kreuzlingen (per Telefax zu den Akten N(...), mit der Bitte um Eröffnung des Urteils an den Beschwerdeführer und um Zustellung der beiliegenden Empfangsbestätigung an das Bundesverwaltungsgericht) - die kantonale Migrationsbehörde (...) (per Telefax)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