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E-2619/2015 vom 7. Mai 2015</w:t>
      </w:r>
    </w:p>
    <w:p>
      <w:r>
        <w:t>Bundesverwaltungsgericht, 2015-05-07, FR</w:t>
      </w:r>
    </w:p>
    <w:p>
      <w:r>
        <w:rPr>
          <w:b/>
        </w:rPr>
        <w:t xml:space="preserve">Quelle: </w:t>
      </w:r>
      <w:r>
        <w:t>https://mcp.opencaselaw.ch/entscheid/bvger_E-2619_2015</w:t>
      </w:r>
    </w:p>
    <w:p>
      <w:r>
        <w:t>FR: TAF E-2619/2015 du 7 mai 2015</w:t>
      </w:r>
    </w:p>
    <w:p>
      <w:r>
        <w:t>IT: TAF E-2619/2015 del 7 maggio 2015</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La possibilité de déposer une demande d'asile à l'étranger a disparu depuis l'entrée en vigueur, le 29 septembre 2012, de la modification urgente de la LAsi, qui a abrogé les art. 20 et 52 al. 2 LAsi, et a modifié l'art. 19 LAsi ; toutefois, selon les dispositions transitoires applicables, ces dispositions, dans leur ancienne teneur, continuent à s'appliquer aux demandes déposées à l'étranger avant cette date.</w:t>
      </w:r>
    </w:p>
    <w:p>
      <w:r>
        <w:rPr>
          <w:b/>
        </w:rPr>
        <w:t>E. 2.2</w:t>
      </w:r>
    </w:p>
    <w:p>
      <w:r>
        <w:t>Lorsqu'un requérant dépose une demande d'asile auprès d'une représentation suisse à l'étranger (art. 19 al. 1 LAsi dans son ancienne teneur), celle-ci transmet à l'ODM la demande accompagnée d'un rapport (ancien art. 20 al. 1 LAsi). Afin d'établir les faits, l'office autorise le requérant à entrer en Suisse si celui-ci ne peut raisonnablement être astreint à rester dans son Etat de domicile ou de séjour ou à se rendre dans un autre Etat (ancien art. 20 al. 2 LAsi).</w:t>
      </w:r>
    </w:p>
    <w:p>
      <w:r>
        <w:rPr>
          <w:b/>
        </w:rPr>
        <w:t>E. 2.3</w:t>
      </w:r>
    </w:p>
    <w:p>
      <w:r>
        <w:t>L'octroi d'une autorisation d'entrée, pour laquelle l'autorité dispose d'une large liberté d'appréciation, est soumis à des conditions restrictives. Outre l'existence d'un risque de persécution au sens de l'art. 3 LAsi, cette possibilité s'apprécie selon l'intensité des liens que le requérant entretient avec la Suisse, et la mesure dans laquelle on peut exiger qu'il reste à son lieu de séjour pendant l'instruction (ATAF 2011/10 consid. 3-5 p. 126-131). L'appréciation se base aussi sur la possibilité pratique d'être admis dans un Etat tiers, et la mesure dans laquelle on peut raisonnablement exiger de la personne en cause qu'elle s'y installe (JICRA 1997 n° 15 précité consid. 2d-2g p. 130-133) ; le refus de l'autorisation d'entrée entraîne le rejet de la demande d'asile (Jurisprudence et informations de la Commission suisse de recours en matière d'asile [JICRA] 2000 n° 12 consid. 7 p. 97-98). L'existence d'une nécessité de protection contre un risque de persécution constitue cependant un point déterminant, que l'autorité est tenue de prendre en compte (JICRA 2004 n° 20 consid. 3b p. 130-131).</w:t>
      </w:r>
    </w:p>
    <w:p>
      <w:r>
        <w:rPr>
          <w:b/>
        </w:rPr>
        <w:t>E. 3.1</w:t>
      </w:r>
    </w:p>
    <w:p>
      <w:r>
        <w:t>Selon l'art. 10 al. 1 de l'ordonnance 1 du 11 août 1999 sur l'asile relative à la procédure (OA 1, RS 142.311), dans son ancienne teneur,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 (ATAF 2007/30 consid. 5.4 p. 364-365 ; 2014/22 consid. 5.3 p. 324-328). Le dépôt de la demande directement auprès de l'ODM est également possible (JICRA 1997 n° 15 consid. 2b p. 129-130). En l'espèce, vu la surcharge affectant la représentation suisse à Khartoum, il n'a pu être procédé à l'audition de l'intéressé. Celui-ci a toutefois pu faire valoir ses motifs d'asile par l'intermédiaire de son mandataire, ainsi qu'en répondant, le 26 février 2015, au questionnaire que lui avait soumis l'ODM.</w:t>
      </w:r>
    </w:p>
    <w:p>
      <w:r>
        <w:rPr>
          <w:b/>
        </w:rPr>
        <w:t>E. 3.2</w:t>
      </w:r>
    </w:p>
    <w:p>
      <w:r>
        <w:t>Selon le SEM, la poursuite du séjour du recourant au Soudan peut être exigée de lui, aucun danger ne l'y menaçant de manière pressante. Le Tribunal partage cette appréciation. En effet, les risques que l'intéressé disait courir dans le camp de Shegerab ne sont plus pertinents, puisqu'il réside aujourd'hui à Khartoum, dans un logement qu'il occupe avec d'autres Erythréens. Les mesures de protection prise par le HCR et le gouvernement soudanais dans ce camp ont d'ailleurs permis une nette diminution des cas d'enlèvements crapuleux qui s'y produisaient en grand nombre jusqu'en 2012 (cf. HCR / Office International des Migrations [OIM], Joint Press Release, HCR and IOM strengthen their support to Sudan in combating human trafficking and smuggling, Khartoum, 17 décembre 2013 ; arrêt du Tribunal E-7185/2013 du 19 février 2014, consid. 3.5.3, et les réf. citées). Les organisations criminelles se livrant à ces enlèvements sévissent d'ailleurs pour l'essentiel dans l'est du Soudan, et non à Khartoum (cf. OSAR, "Erythrée : enlèvements, demandes de rançons et trafic d'organes", juillet 2012). Par ailleurs, il n'y a pas de motifs sérieux d'admettre l'existence d'un risque réel pour le recourant d'être exposé à une détention arbitraire, une expulsion ou un refoulement en Erythrée. En effet, la pratique n'est pas systématique, et le recourant n'a démontré ni que sa situation personnelle était pire que celle des dizaines de milliers d'autres réfugiés érythréens à Khartoum, ni que sa crainte reposait sur des motifs sérieux et avérés. Le cas échéant, il resterait loisible au recourant d'entreprendre des démarches pour se faire délivrer un document officiel à Khartoum (étant rappelé que le HCR prévoyait la délivrance pour 2014 de 25 000 documents d'identité aux réfugiés urbains au Soudan et demandeurs d'asile à Khartoum) ou pour retourner dans le camp, où il était précédemment enregistré et où il pourrait obtenir la protection du HCR. L'intéressé, qui se trouve depuis plus de quatre ans au Soudan, n'a d'ailleurs jamais été confronté à un risque de cette nature. En outre, si les conditions de vie à Khartoum sont certes difficiles, il apparaît toutefois que le recourant, jeune, en bonne santé et sans charge de famille, a été en mesure d'assurer sa survie quotidienne au moyen de d'emplois occasionnels, et de faire face aux nécessités de la vie courante.</w:t>
      </w:r>
    </w:p>
    <w:p>
      <w:r>
        <w:rPr>
          <w:b/>
        </w:rPr>
        <w:t>E. 3.3</w:t>
      </w:r>
    </w:p>
    <w:p>
      <w:r>
        <w:t>Enfin, si une tante de l'intéressé réside en Suisse, rien n'indique qu'elle ait jamais entretenu avec lui une relation d'une particulière intensité ; il ne s'agit donc pas, en l'espèce, d'un lien suffisamment étroit pour justifier l'entrée en Suisse.</w:t>
      </w:r>
    </w:p>
    <w:p>
      <w:r>
        <w:rPr>
          <w:b/>
        </w:rPr>
        <w:t>E. 3.4</w:t>
      </w:r>
    </w:p>
    <w:p>
      <w:r>
        <w:t>Il s'ensuit que le recours, en tant qu'il conteste le refus de délivrer une autorisation d'entrée et le rejet de la demande d'asile, doit être rejeté.</w:t>
      </w:r>
    </w:p>
    <w:p>
      <w:r>
        <w:rPr>
          <w:b/>
        </w:rPr>
        <w:t>E. 4</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5</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Dans la mesure où les conclusions du recours étaient d'emblée vouées à l'échec, la requête d'assistance judiciaire partielle doit être rejetée (cf. art. 65 al. 1 PA). Dès lors,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