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E-2617/2024 vom 3. Mai 2024</w:t>
      </w:r>
    </w:p>
    <w:p>
      <w:r>
        <w:t>Bundesverwaltungsgericht, 2024-05-03, DE</w:t>
      </w:r>
    </w:p>
    <w:p>
      <w:r>
        <w:rPr>
          <w:b/>
        </w:rPr>
        <w:t xml:space="preserve">Quelle: </w:t>
      </w:r>
      <w:r>
        <w:t>https://mcp.opencaselaw.ch/entscheid/bvger_E-2617_2024</w:t>
      </w:r>
    </w:p>
    <w:p>
      <w:r>
        <w:t>FR: TAF E-2617/2024 du 3 mai 2024</w:t>
      </w:r>
    </w:p>
    <w:p>
      <w:r>
        <w:t>IT: TAF E-2617/2024 del 3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BVGer zur Beurteilung von Beschwerden auf dem Gebiet des Asyls zuständig und entscheidet über diese in der Regel - so auch vorliegend - endgültig (Art. 83 Bst. d Ziff. 1 BGG). Die Beschwerde wurde frist- und mit der Beschwerdeverbesserung auch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 Auf einen Schriftenwechsel wurde in Anwendung von Art. 111a Abs. 1 AsylG verzichtet.</w:t>
      </w:r>
    </w:p>
    <w:p>
      <w:r>
        <w:rPr>
          <w:b/>
        </w:rPr>
        <w:t>E. 2</w:t>
      </w:r>
    </w:p>
    <w:p>
      <w:r>
        <w:t>Die Anträge auf Einräumung der aufschiebenden Wirkung sowie auf Verzicht auf die Erhebung eines Kostenvorschusses erweisen sich mit dem vorliegenden Entscheid in der Sache als gegenstandslos.</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als zuständiger Staat bestimmt wird. Im Rahmen eines Wiederaufnahmeverfahrens findet demgegenüber grundsätzlich keine (erneute) Zuständigkeitsprüfung nach Kapitel III statt (vgl. zum Ganzen BVGE 2019 VI/7 E. 4-6;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während der Prüfung ihres Antrags in einem anderen Mitgliedstaat einen Antrag gestellt hat oder die sich im Hoheitsgebiet eines anderen Mitgliedstaats ohne Aufenthaltstitel aufhält, nach Massgabe der Art. 23, 24, 25 und 29 wieder aufzunehmen (Art. 18 Abs. 1 Bst. b Dublin-III-VO). Diese Verpflichtung erlischt, wenn die gesuchstellende Person das Herrschaftsgebiet der Mitgliedstaaten während einer Dauer von mindestens drei Monaten verlassen hat, ausser die Person verfüge über einen durch den zuständigen Mitgliedstaat ausgestellten Aufenthaltstitel (vgl. Art. 19 Abs. 2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5.1</w:t>
      </w:r>
    </w:p>
    <w:p>
      <w:r>
        <w:t>Die Vorinstanz begründet die angefochtene Verfügung im Wesentlichen damit, dass Österreich für die Behandlung des Asylgesuches des Beschwerdeführers zuständig sei, nachdem dieser dort am 5. Juli 2023 ein Asylgesuch eingereicht und die österreichischen Behörden seiner Rückübernahme gestützt auf Art. 18 Abs. 1 Bst. b Dublin-III-VO zugestimmt hätten. Mit den beiden eingereichten Belegen (einem Zahnarztbeleg und einer unleserlichen Anwaltsrechnung) aus der Türkei könne er den geltend gemachten Aufenthalt ausserhalb des Dublin-Raumes nicht rechtsgenüglich beweisen. Es komme hinzu, dass solche Belege auch über das Internet und unter Beihilfe von Dritten verfügbar gemacht oder gar leicht gefälscht und käuflich erworben würden. Seine Aussagen zu seiner angeblichen Rückreise in die Türkei und seiner erneuten Einreise in das Hoheitsgebiet der Dublin-Staaten seien sodann sehr allgemein gehalten, stereotyp und ohne Detailangaben ausgefallen, weshalb das Geschilderte nicht erlebt wirke. Vor dem Hintergrund, dass er sich als Jugendlicher im Rahmen einer Niederlassungsbewilligung in der Schweiz aufgehalten habe und der Anwesenheit zahlreicher Familienangehöriger, widerspreche die Rückreise mit einem Schlepper jeglicher Logik. Aus den gesamten Umständen sei vielmehr zu schliessen, dass er aus Österreich direkt in die Schweiz zu den Familienangehörigen gelangt sei. Seine Erklärungen im persönlichen Gespräch änderten an dieser Einschätzung nichts. Über all diese Umstände seien die österreichischen Behörden auch informiert worden und sie hätten schliesslich, nach Remonstration, seiner Rückübernahme zugestimmt. Sodann stellte es fest, es lägen in Österreich keine systemischen Schwachstellen vor und aus der Anwesenheit der Verwandten in der Schweiz, bei welchen es sich nicht um Familienangehörige im Sinne von Art. 2 Bst. g Dublin-IIII-VO handle, vermöge er nichts zu seinen Gunsten abzuleiten, zumal auch kein Abhängigkeitsverhältnis vorliege. Es stünden dem Vollzug der Wegweisung schliesslich auch keine medizinischen Gründe entgegen und es gebe auch sonst keine Gründe für einen Selbsteintritt der Schweiz.</w:t>
      </w:r>
    </w:p>
    <w:p>
      <w:r>
        <w:rPr>
          <w:b/>
        </w:rPr>
        <w:t>E. 5.2</w:t>
      </w:r>
    </w:p>
    <w:p>
      <w:r>
        <w:t>In seiner Rechtsmitteleingabe beharrt der Beschwerdeführer darauf, dass er nach seinem Aufenthalt in Österreich im Juli 2023 in die Türkei zurückgekehrt sei, was er auch mit den neuen Beweismitteln belegen könne. Er moniert, der Umstand, dass die österreichischen Behörden das Rückübernahmegesuch zunächst abgelehnt hätten, zeige, dass sein Vorbringen nicht von vornherein unglaubhaft sei. Sodann bemängelt er, dass das SEM nicht begründe, wo anders als in der Türkei er sich sonst aufgehalten haben solle, und weshalb er dann mit dem Asylgesuch bis am 18. März 2024 zugewartet hätte, statt es nach der dreimonatigen Frist gemäss Art.19 Abs. 2 Dublin-III-VO einzureichen. Des Weiteren bringt er vor, dass er hier in der Schweiz in engem Kontakt zu einem Arbeitgeber stehe, der ihn aufgrund seiner überdurchschnittlichen Qualifikation für seinen Betrieb gewinnen wolle, zumal es ihm trotz erheblichen Suchbemühungen nicht gelungen sei, die offene Stelle zu besetzen. Entsprechend werde er demnächst bei der zuständigen kantonalen Behörde ein Gesuch einreichen und das Gericht über den Stand dieses Verfahrens auf dem Laufenden halten.</w:t>
      </w:r>
    </w:p>
    <w:p>
      <w:r>
        <w:rPr>
          <w:b/>
        </w:rPr>
        <w:t>E. 6</w:t>
      </w:r>
    </w:p>
    <w:p>
      <w:r>
        <w:t>Das Gericht kommt nach Überprüfung der Akten zum Schluss, dass sich die Beschwerde als offensichtlich unbegründet erweist. Auf die in allen Punkten zutreffende Begründung der angefochtenen Verfügung kann mit den folgenden Ergänzungen verwiesen werden:</w:t>
      </w:r>
    </w:p>
    <w:p>
      <w:r>
        <w:rPr>
          <w:b/>
        </w:rPr>
        <w:t>E. 6.1</w:t>
      </w:r>
    </w:p>
    <w:p>
      <w:r>
        <w:t>Um eine Ausreise von mindestens drei Monaten (aus dem Schengenraum) gemäss Art. 19 Abs. 2 Dublin-III-VO zu belegen, werden Beweismittel und Indizien verwendet, welche durch die Durchführungsverordnung in zwei Verzeichnissen festgelegt werden. Diese beiden Verzeichnisse sind in Anhang 2 der Durchführungsverordnung enthalten. Die jeweiligen Ziffern 9 der beiden Verzeichnisse legen fest, welche Beweismittel und Indizien zur Feststellung des Erlöschens gemäss Art. 19 Abs. 2 Dublin-III-VO Verwendung finden. Als Beweismittel gelten etwa «Ausreisestempel» aber auch ein «Bericht/Bestätigung seitens des Mitgliedstaats, von dem aus der Antragsteller das Hoheitsgebiet der Mitgliedstaaten verlassen hat». Bei Fehlen von förmlichen Beweismitteln gemäss der Verordnung sind die vorgelegten Indizien zu berücksichtigen. Darunter fallen unter anderem «ausführliche und nachprüfbare Erklärungen des Antragstellers» sowie etwa «Daten, aus denen hervorgeht, dass der Antragsteller die Dienste eines Schleppers oder eines Reisebüros in Anspruch genommen hat» und «sonstige Indizien gleicher Art», welche im Sinne der Verordnung nicht als Beweismittel gelten (Art. 22 Abs. 2, Abs. 3 und Abs. 5 Dublin-III-VO; Anhang 2 der Durchführungsverordnung). Somit können grundsätzlich auch glaubhafte Vorbringen einer Person genügen oder sogenannte Indizien gemäss der Dublin-III-VO, um die Anwendbarkeit von Art. 19 Abs. 2 Dublin-III-VO festzustellen (vgl. zum Ganzen Urteil des BVGer D-4239/2021 vom 19. Oktober 2021 E. 6).</w:t>
      </w:r>
    </w:p>
    <w:p>
      <w:r>
        <w:rPr>
          <w:b/>
        </w:rPr>
        <w:t>E. 6.1.1</w:t>
      </w:r>
    </w:p>
    <w:p>
      <w:r>
        <w:t>Aus dem Umstand, dass die österreichischen Behörden der Rückübernahme des Beschwerdeführers erst auf Remonstration hin zugestimmt hätten, kann er nichts zu seinen Gunsten ableiten. Vielmehr sind sie offenkundig nach nochmaliger Überprüfung der vom SEM zur Verfügung gestellten Aktenstücke und vom Beschwerdeführer geltend gemachten Vorbringen sowie der entsprechenden Einschätzung des SEM auf deren Plausibilität hin zur Kenntnis gelangt, dass sie den Aufenthalt des Beschwerdeführers ausserhalb der Dublin-Mitgliedstaaten für mehr als drei Monate nicht nachweisen können im Sinne der massgeblichen Bestimmungen, auf welche sie im Remonstrationsschreiben vom 19. April 2024 explizit hingewiesen wurden (A28).</w:t>
      </w:r>
    </w:p>
    <w:p>
      <w:r>
        <w:rPr>
          <w:b/>
        </w:rPr>
        <w:t>E. 6.1.2</w:t>
      </w:r>
    </w:p>
    <w:p>
      <w:r>
        <w:t>Ebenfalls nichts abzuleiten vermag der Beschwerdeführer aus den zusammen mit der Beschwerde eingereichten 3 Fotografien. Bei den ersten beiden, die den Beschwerdeführer je in einem Innenraum zeigen, ist nicht ansatzweise erkennbar, wo sie aufgenommen worden sind; das letzte, aus dem wohl der Schluss gezogen werden soll, es sei auf dem Gelände der Ege Universität aufgenommen worden, wirkt konstruiert. Unabhängig davon ist keines der Bilder datiert, und es wird auch nicht ansatzweise erklärt, in welchem Zusammenhang, wann und wo sie aufgenommen worden sein sollen, und inwiefern sie geeignet wären, einen dreimonatigen (oder längeren) Aufenthalt ausserhalb des Dublin-Raumes nachzuweisen oder glaubhaft zu machen.</w:t>
      </w:r>
    </w:p>
    <w:p>
      <w:r>
        <w:rPr>
          <w:b/>
        </w:rPr>
        <w:t>E. 6.1.3</w:t>
      </w:r>
    </w:p>
    <w:p>
      <w:r>
        <w:t>Schliesslich verkennt der Beschwerdeführer die Verteilung der Beweislast, wenn er meint, das SEM habe zu begründen, wo anders als in der Türkei er sich denn sonst seit seinem Verschwinden in Österreich nach der Einreichung eines Asylgesuches dort aufgehalten haben sollte. Entscheidend ist, dass er in einer Gesamtbetrachtung seiner Vorbringen und der eingereichten Beweismittel nicht nachzuweisen vermag und nicht glaubhaft machen kann, er habe sich drei oder mehr Monate ausserhalb des Dublin-Raumes aufgehalten. Im Übrigen sprechen nebst den vom SEM aufgezeigten durchaus weitere Umstände gegen die Glaubhaftigkeit der Vorbringen des Beschwerdeführers. So etwa, dass er erst auf ausdrückliche Konfrontation hin eingestand, im Sommer 2023 in Österreich ein Asylgesuch eingereicht zu haben (A21), während er sich in seinen Schilderungen bis dahin darauf beschränkte, er sei von Zypern in die Türkei zurückgekehrt und habe sich bis zur aktuellen Ausreise aus der Türkei dort aufgehalten. Tatsächlich mag nicht ganz nachvollziehbar sein, weshalb er - bei der Vermutung des SEM, er habe sich in all den Monaten in der Schweiz bei seiner Familie aufgehalten - das Asylgesuch nicht umgehend nach Ablauf der drei Monate nach seinem Verschwinden in Österreich gestellt hat. Das reicht allerdings bei weitem nicht, um den vom SEM korrekterweise gezogenen Schluss in Frage zu stellen, zumal der Beschwerdeführer auch hier wieder die Beweislastverteilung verkennt.</w:t>
      </w:r>
    </w:p>
    <w:p>
      <w:r>
        <w:rPr>
          <w:b/>
        </w:rPr>
        <w:t>E. 6.2</w:t>
      </w:r>
    </w:p>
    <w:p>
      <w:r>
        <w:t>Zusammenfassend ist festzustellen, dass der Beschwerdeführer laut Eurodac am 5. Juli 2023 in Österreich ein Asylgesuch eingereicht hat und die dortigen Behörden seiner Wiederaufnahme am 22. April 2024 zugestimmt haben. Eine (offizielle) Ausreise aus Österreich ist hingegen weder vermerkt noch vom Beschwerdeführer (etwa mittels Ausreisestempel im Pass) belegt. Er hat keinerlei Beweismittel mit hinreichender Beweiskraft hinsichtlich eines mindestens dreimonatigen Aufenthalts ausserhalb der Dublin-Mitgliedstaaten eingereicht und seine Vorbringen zu seinem angeblich mehr als siebenmonatigen Aufenthalt im Heimatstaat (seitens dessen er im Übrigen verfolgt sein will) sind unsubstantiiert, teilweise nicht nachvollziehbar und in der Gesamtwürdigung unglaubhaft. Demnach ist vorliegend die Zuständigkeit Österreichs gemäss Art. 19 Abs. 2 Dublin-III-VO nicht erloschen.</w:t>
      </w:r>
    </w:p>
    <w:p>
      <w:r>
        <w:rPr>
          <w:b/>
        </w:rPr>
        <w:t>E. 7.1</w:t>
      </w:r>
    </w:p>
    <w:p>
      <w:r>
        <w:t>Der Beschwerdeführer legt sodann keine konkreten und ernsthaften Gründe dar, dass die österreichischen Behörden seinen Antrag auf internationalen Schutz nicht unter Einhaltung ihrer internationalen Verpflichtungen behandeln würden. Den Akten sind ferner keine Gründe für die Annahme zu entnehmen, die österreichischen Behörden würden den Grundsatz des Non-Refoulements missachten und ihn zur Ausreise in ein Land zwingen, in dem sein Leib, sein Leben oder seine Freiheit aus einem Grund nach Art. 3 Abs. 1 AsylG gefährdet ist oder in dem er Gefahr laufen würde, zur Ausreise in ein solches Land gezwungen zu werden. Österreich hat dem Rückübernahmeersuchen zugestimmt und wird sein Asylverfahren weiterführen respektive wieder aufnehmen. Es liegen offensichtlich keine Gründe vor, welche im Sinne von Art. 3 Abs. 2 Dublin-III-VO auf systematische Schwachstellen im österreichischen Asyl- und Wegweisungsverfahren hinweisen und zu einer Verletzung von Art. 4 der EU-Grundrechtecharta, Art. 3 EMRK oder Art. 3 des Übereinkommens vom 10. Dezember 1984 gegen Folter und andere grausame, unmenschliche oder erniedrigende Behandlung oder Strafe (FoK, SR 0.105) führen könnten. Es bestehen somit keine Gründe für die Anwendung von Art. 3 Abs. 2 Dublin-III-VO. Sodann hat das SEM zu Recht festgestellt, der Überstellung des Beschwerdeführers nach Österreich stünden keine gesundheitlichen Gründe entgegen und aus der Anwesenheit seiner Brüder und übrigen Verwandten in der Schweiz vermöge er nichts zu seinen Gunsten abzuleiten. Ein Abhängigkeitsverhältnis ist ebenfalls nicht erkennbar. Auch aus dem Umstand, dass er früher über eine Niederlassungsbewilligung in der Schweiz verfügt und der Gemeinde damals mitgeteilt habe, er reise (nur) zu Bildungszwecken in die Türkei, worauf er in seiner Beschwerde verweist, vermag er keinen Grund für einen Selbsteintritt zu setzen. Gleiches gilt betreffend sein Vorbringen, er habe eine Arbeitsstelle in Aussicht und werde ein entsprechendes Bewilligungsverfahren einleiten. Den Ausgang dieses Verfahrens hat er gegebenenfalls im Ausland abzuwarten.</w:t>
      </w:r>
    </w:p>
    <w:p>
      <w:r>
        <w:rPr>
          <w:b/>
        </w:rPr>
        <w:t>E. 7.2</w:t>
      </w:r>
    </w:p>
    <w:p>
      <w:r>
        <w:t>Es liegen insgesamt keine zwingenden Gründe für einen Selbsteintritt der Schweiz im Sinne von Art. 17 Abs. 1 Dublin-III-VO vor und die angefochtene Verfügung ist auch unter dem Blickwinkel der Anwendung der Kann-Bestimmung von Art. 29a Abs. 3 AsylV 1 - hinsichtlich derer das SEM über einen (durch das Bundesverwaltungsgericht lediglich eingeschränkt überprüfbaren) Ermessensspielraum verfügt - nicht zu beanstanden (vgl. BVGE 2015/9 E. 7 f.). Das SEM hat den Umständen des Einzelfalls hinreichend Rechnung getragen und es sind den Akten keine Hinweise auf einen Ermessensmissbrauch zu entnehmen.</w:t>
      </w:r>
    </w:p>
    <w:p>
      <w:r>
        <w:rPr>
          <w:b/>
        </w:rPr>
        <w:t>E. 8</w:t>
      </w:r>
    </w:p>
    <w:p>
      <w:r>
        <w:t>Das SEM ist demnach zu Recht auf das Asylgesuch des Beschwerdeführers nicht eingetreten und hat seine Wegweisung nach Österreich angeordnet (Art. 31a Abs. 1 Bst. b AsylG und Art. 44 AsylG). Die angefochtene Verfügung erweist sich als rechtmässig (Art. 106 Abs. 1 AsylG) und die Beschwerde ist abzuweisen.</w:t>
      </w:r>
    </w:p>
    <w:p>
      <w:r>
        <w:rPr>
          <w:b/>
        </w:rPr>
        <w:t>E. 9</w:t>
      </w:r>
    </w:p>
    <w:p>
      <w:r>
        <w:t>Die Kosten des Verfahrens sind der unterliegenden Partei aufzuerlegen (Art. 63 Abs. 1 VwVG). Die Bedürftigkeit wurde vom Beschwerdeführer nicht belegt und ist angesichts seiner Versicherung gegenüber der zuständigen Gemeindebehörde, er verfüge über umfangreichere finanzielle Mittel (A6, S. 3), zweifelhaft. Unabhängig davon erweist sich die Beschwerde als aussichtslos im Sinne von Art. 65 Abs. 1 VwVG. Das Gesuch um Gewährung der unentgeltlichen Prozessführung ist demnach abzuweisen und die Verfahrenskosten von insgesamt Fr. 750.- (Art. 1-3 des Reglements vom 21. Februar 2008 über die Kosten und Entschädigungen vor dem Bundesverwaltungsgericht [VGKE SR 173.320.2]) sind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