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E-2614/2022 vom 3. Juni 2022</w:t>
      </w:r>
    </w:p>
    <w:p>
      <w:r>
        <w:t>Bundesverwaltungsgericht, 2022-06-03, DE</w:t>
      </w:r>
    </w:p>
    <w:p>
      <w:r>
        <w:rPr>
          <w:b/>
        </w:rPr>
        <w:t xml:space="preserve">Quelle: </w:t>
      </w:r>
      <w:r>
        <w:t>https://mcp.opencaselaw.ch/entscheid/bvger_E-2614_2022_d20220603</w:t>
      </w:r>
    </w:p>
    <w:p>
      <w:r>
        <w:t>FR: TAF E-2614/2022 du 3 juin 2022</w:t>
      </w:r>
    </w:p>
    <w:p>
      <w:r>
        <w:t>IT: TAF E-2614/2022 del 3 giugno 2022</w:t>
      </w:r>
    </w:p>
    <w:p>
      <w:pPr>
        <w:pStyle w:val="Heading2"/>
      </w:pPr>
      <w:r>
        <w:t>Regeste</w:t>
      </w:r>
    </w:p>
    <w:p>
      <w:r>
        <w:t>Verweigerung vor&amp;uuml;bergehender Schutz | Verweigerung vorläufiger Schutz; Verfügung des SEM vom 3. Juni 2022</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habent am Verfahren vor der Vorinstanz teilgenom- men, ist durch die angefochtene Verfügung besonders berührt und hat ein schutzwürdiges Interesse an deren Aufhebung beziehungsweise Ände- rung; er ist daher zur Einreichung der Beschwerde legitimiert (Art. 72 i.V.m.</w:t>
      </w:r>
    </w:p>
    <w:p>
      <w:r>
        <w:t>E-2614/2022 Seite 4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4.1</w:t>
      </w:r>
    </w:p>
    <w:p>
      <w:r>
        <w:t>In der Beschwerde werden formelle Rügen erhoben, welche vorab zu beurteilen sind, da sie gegebenenfalls geeignet sind, eine Kassation der vorinstanzlichen Verfügung zu bewirken.</w:t>
      </w:r>
    </w:p>
    <w:p>
      <w:r>
        <w:rPr>
          <w:b/>
        </w:rPr>
        <w:t>E. 4.2</w:t>
      </w:r>
    </w:p>
    <w:p>
      <w:r>
        <w:t>In der Beschwerde wird gerügt, dass das SEM den Sachverhalt zu we- nig abgeklärt habe und die Befragung viel zu kurz gewesen sei. In der Be- schwerdeergänzung werden zudem sprachliche Verständigungsschwierig- keiten geltend gemacht, da man mit dem Beschwerdeführer telefonisch in Englisch gesprochen habe, dies nicht die Muttersprache des Beschwerde- führers sei und dieser Englisch nur sehr schlecht verstehe. Sinngemäss wird somit eine unrichtige Sachverhaltserstellung gerügt. Der Beschwerdeführer hatte im Rahmen der Kurzbefragung ausreichend Gelegenheit, seine Vorbringen zu schildern. Ferner wurde er nach seinen Ausführungen gefragt, ob der geschilderte Grund, nämlich, dass er in In- dien nicht leben wolle, da er es für ihn und seine Frau besser haben wolle, der einzige Grund sei, was er bejahte (Akten der Vorinstanz 1168694- [nachfolgend: SEM-Akten] A4/3). Ebenfalls nicht zu hören ist er mit dem Vorbringen, es habe sprachliche Verständigungsprobleme gegeben, da er nicht gut Englisch verstehe. Es ist zu entgegnen, dass er auf dem Perso- nalienblatt für Asylsuchende in Ziffer 10 «Mögliche weitere Sprachen für Interview» «Russian, English, Ukraine» angegeben hat (SEM-Akten A1/9).</w:t>
      </w:r>
    </w:p>
    <w:p>
      <w:r>
        <w:t>E-2614/2022 Seite 5 Die Kurzbefragung fand daraufhin in Englisch statt. Einleitend wurde er ge- fragt, wie er die dolmetschende Person verstehe, worauf er ausführte, «Ja, ich verstehe.». Im Weiteren ist festzustellen, dass zwei Vertreter des Leis- tungserbringers Rechtsschutz des HEKS der Kurzbefragung beiwohnten, Fragen stellten und keine Einwendungen gegen die Befragung geltend machten. Der Beschwerdeführer hat mit seiner Unterschrift zudem bestä- tigt, dass ihm das Protokoll in eine ihm verständliche Sprache übersetzt worden sei, vollständig sei und seinen freien Äusserungen entspreche. Im Übrigen findet der Untersuchungsgrundsatz seine Grenze an der Mitwir- kungspflicht der asylsuchenden Person. Sodann ist festzustellen, dass das Bundesverwaltungsgericht den Akten auch sonst keinerlei Hinweise ent- nehmen kann, dass die Vorinstanz den Sachverhalt nicht ausreichend er- stellt hätte.</w:t>
      </w:r>
    </w:p>
    <w:p>
      <w:r>
        <w:rPr>
          <w:b/>
        </w:rPr>
        <w:t>E. 4.3</w:t>
      </w:r>
    </w:p>
    <w:p>
      <w:r>
        <w:t>Der Beschwerdeführer rügt in der Beschwerde, die Rechtsmittelbeleh- rung sei falsch. Die Rechtsmittelfrist würde 30 Tage und nicht 5 Arbeitstage betragen, weshalb es ihm nicht möglich gewesen sei, sich rechtzeitig juris- tisch beraten zu lassen, und er eine unzulängliche Eingabe habe machen müssen. Nachdem die Instruktionsrichterin diesbezüglich mit Zwischenver- fügung vom 21. Juni 2022 dem Beschwerdeführer die Gelegenheit eröff- nete, seine Beschwerde bis am 7. Juli 2022 zu ergänzen, mithin ihm die Rechtsmittelfrist von 30 Tagen ab Eröffnung des vorinstanzlichen Ent- scheids zur Verfügung stand und er fristwahrend eine Beschwerdeergän- zung eingereicht hat, ist festzustellen, dass ihm kein Nachteil aus der fal- schen Rechtsmittelbelehrung erwachsen ist.</w:t>
      </w:r>
    </w:p>
    <w:p>
      <w:r>
        <w:rPr>
          <w:b/>
        </w:rPr>
        <w:t>E. 4.4</w:t>
      </w:r>
    </w:p>
    <w:p>
      <w:r>
        <w:t>Nach dem Gesagten besteht keine Veranlassung, den angefochtenen Entscheid aus formellen Gründen aufzuheben und an die Vorinstanz zu- rückzuweisen. Die entsprechenden (Eventual-)Begehren sind abzuweisen.</w:t>
      </w:r>
    </w:p>
    <w:p>
      <w:r>
        <w:rPr>
          <w:b/>
        </w:rPr>
        <w:t>E. 5.1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w:t>
      </w:r>
    </w:p>
    <w:p>
      <w:r>
        <w:t>E-2614/2022 Seite 6 sich in der Schweiz vereinigen will und keine besonderen Gründe dagegen- sprechen (Bst. b).</w:t>
      </w:r>
    </w:p>
    <w:p>
      <w:r>
        <w:rPr>
          <w:b/>
        </w:rPr>
        <w:t>E. 5.2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schutzsuchenden Personen anderer Nationalitäten und Staatenlo- sen gemäss Definition in Buchstabe a, welche vor dem 24. Feb- 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6.1</w:t>
      </w:r>
    </w:p>
    <w:p>
      <w:r>
        <w:t>Die Vorinstanz führte zur Begründung ihrer Verfügung aus, ihre Abklä- rungen hätten ergeben, dass der Beschwerdeführer nicht zu der vom Bun- desrat definierten Gruppe der schutzbedürftigen Personen gehöre, weil er indischer Staatsangehöriger sei und in Sicherheit sowie dauerhaft nach In- dien zurückkehren könne.</w:t>
      </w:r>
    </w:p>
    <w:p>
      <w:r>
        <w:rPr>
          <w:b/>
        </w:rPr>
        <w:t>E. 6.2</w:t>
      </w:r>
    </w:p>
    <w:p>
      <w:r>
        <w:t>Der Beschwerdeführer erwidert in der Beschwerde vom 14. Juni 2022 und in seiner Beschwerdeergänzung vom 7. Juli 2022, er sei in der Ukraine mit einer Ukrainerin verheiratet. Er sei nur kurz nach Indien gereist, weil ihm ein Gratisflug dahin angeboten worden sei, als der Krieg ausgebrochen sei.</w:t>
      </w:r>
    </w:p>
    <w:p>
      <w:r>
        <w:t>E-2614/2022 Seite 7</w:t>
      </w:r>
    </w:p>
    <w:p>
      <w:r>
        <w:rPr>
          <w:b/>
        </w:rPr>
        <w:t>E. 7.1</w:t>
      </w:r>
    </w:p>
    <w:p>
      <w:r>
        <w:t>Zunächst ist festzustellen, dass der Beschwerdeführer nicht ukraini- scher Staatsangehöriger ist und seine ukrainische Ehefrau in der Schweiz kein Gesuch um Gewährung vorübergehenden Schutzes gestellt hat, wo- mit die Anwendung von Buchstabe a der Allgemeinverfügung vom 11. März 2022 ausser Betracht fällt. Sodann verfügt er ferner nicht über einen Schutzstatus in der Ukraine, was auch die Anwendung von Buchstabe b der Allgemeinverfügung ausschliesst. Eine Anwendung von Buchstabe c der Allgemeinverfügung setzt unter anderem voraus, dass der Beschwer- deführer nicht in Sicherheit und dauerhaft nach Indien zurückkehren könnte.</w:t>
      </w:r>
    </w:p>
    <w:p>
      <w:r>
        <w:rPr>
          <w:b/>
        </w:rPr>
        <w:t>E. 7.2</w:t>
      </w:r>
    </w:p>
    <w:p>
      <w:r>
        <w:t>Vorliegend hat das SEM in der angefochtenen Verfügung zu Recht da- rauf hingewiesen, dass Indien durch den Bundesrat als verfolgungssiche- rer Staat ("Safe Country") gemäss Art. 6a Abs. 2 Bst. a AsylG bezeichnet wurde. Im Rahmen der periodischen Überprüfung (vgl. Art. 6a Abs. 3 AsylG) ist die Schweizer Regierung darauf bisher nicht zurückgekommen (vgl. Anhang 2 der Asylverordnung 1 vom 11. August 1999 [AsylV 1, SR 142.311]). Die Bezeichnung eines Landes als "Safe Country" beinhaltet die Regelvermutung, dass asylrelevante staatliche Verfolgung nicht stattfinde und Schutz vor nichtstaatlicher Verfolgung gewährleistet sei. Hierbei han- delt es sich um eine relative Verfolgungssicherheit, welche im Einzelfall auf Grund konkreter und substantiierter Hinweise umgestossen werden kann (vgl. unter vielen Urteil des BVGer D-1479/2022 vom 5. Mai 2022 E. 5.2.1). Dies gelang dem Beschwerdeführer mit seinen Ausführungen offensicht- lich nicht.</w:t>
      </w:r>
    </w:p>
    <w:p>
      <w:r>
        <w:rPr>
          <w:b/>
        </w:rPr>
        <w:t>E. 7.3</w:t>
      </w:r>
    </w:p>
    <w:p>
      <w:r>
        <w:t>Auch den Ausführungen des Beschwerdeführers anlässlich der Befra- gung vom 20. Mai 2022 ist zu entnehmen ist, dass eine dauerhafte Rück- kehr in den Heimatstaat unter dem Aspekt der Sicherheit grundsätzlich möglich wäre, zumal er im Frühling 2022 unbehelligt nach Indien einreisen und das Land am (…) 2022 ebenso unbehelligt wieder verlassen konnte (SEM-Akten A4/3).</w:t>
      </w:r>
    </w:p>
    <w:p>
      <w:r>
        <w:rPr>
          <w:b/>
        </w:rPr>
        <w:t>E. 7.4</w:t>
      </w:r>
    </w:p>
    <w:p>
      <w:r>
        <w:t>Zusammenfassend ist festzuhalten, dass der Beschwerdeführer die Voraussetzungen der Gewährung des vorübergehenden Schutzes offen- sichtlich nicht erfüllt und das SEM das entsprechende Gesuch zu Recht abgelehnt hat.</w:t>
      </w:r>
    </w:p>
    <w:p>
      <w:r>
        <w:t>E-2614/2022 Seite 8</w:t>
      </w:r>
    </w:p>
    <w:p>
      <w:r>
        <w:rPr>
          <w:b/>
        </w:rPr>
        <w:t>E. 8</w:t>
      </w:r>
    </w:p>
    <w:p>
      <w:r>
        <w:t>Die Ablehnung des Gesuchs um Gewährung des vorübergehenden Schut- zes hat in der Regel die Wegweisung aus der Schweiz zur Folge.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9.1</w:t>
      </w:r>
    </w:p>
    <w:p>
      <w:r>
        <w:t>Ist der Vollzug der Wegweisung nicht zulässig, nicht zumutbar oder nicht möglich, so regelt das SEM das Anwesenheitsverhältnis nach den gesetzlichen Bestimmungen über die vorläufige Aufnahme (Art. 83 Abs. 1 AIG [SR 142.20]; vgl. Urteil des BVGer D-2832/2022 vom 7. Juli 2022).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Der Beschwerdeführer hat in der Schweiz kein Asylgesuch gestellt und auch den Akten sind keine Hinweise auf eine Verletzung des flücht- lingsrechtlichen Refoulement-Verbots (Art. 5 Abs. 1 AsylG; vgl. ebenso Art. 33 Abs. 1 des Abkommens vom 28. Juli 1951 über die Rechtsstellung der Flüchtlinge [FK, SR 0.142.30]) zu entnehmen. Sodann ergeben sich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w:t>
      </w:r>
    </w:p>
    <w:p>
      <w:r>
        <w:t>E-2614/2022 Seite 9 Grosse Kammer 37201/06, §§ 124–127 m.w.H.). Dies ist dem Beschwer- deführer vorliegend nicht gelungen, womit sich der Vollzug als zulässig er- weist.</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in Indien ist weder von Bürgerkrieg noch von allgemeiner Gewalt gekennzeichnet, so dass der Vollzug der Wegweisung dorthin grundsätzlich zumutbar ist. Zudem gilt Indien – wie erwähnt – als "Safe Country".</w:t>
      </w:r>
    </w:p>
    <w:p>
      <w:r>
        <w:rPr>
          <w:b/>
        </w:rPr>
        <w:t>E. 9.3.3</w:t>
      </w:r>
    </w:p>
    <w:p>
      <w:r>
        <w:t>Auch in individueller Hinsicht spricht nichts gegen die Zumutbarkeit des Wegweisungsvollzugs. Der Beschwerdeführer ist ein gesunder Mann mit internationaler Berufserfahrung als Koch. Entgegen seinen Ausführun- gen in der Beschwerde ist das Gericht überzeugt, dass er in Indien in sei- nem angestammten Beruf auch nach längerer Abwesenheit wirtschaftlich Fuss fassen kann. Es ist daher davon auszugehen, dass er bei einer Rück- kehr in sein Heimatland für seinen Lebensunterhalt wird aufkommen kön- nen. Die Beschwerdevorbringen unter dem Titel "Hindernisse des Vollzugs der Wegweisung" und die Ausführungen in der Beschwerdeergänzung sind – unter Hinweis auf das vorstehend Ausgeführte – nicht geeignet, um zu ei- ner anderen Einschätzung zu gelangen. Insbesondere sind die Vorbringen, er werde in seiner Heimat aufgrund seiner Heirat als Ausgestossener be- handelt und seine Familie akzeptiere nicht, dass er absolut unkonventionell und entgegen den Sitten seiner Heimat geheiratet habe, weder belegt noch geeignet, den Vollzug als unzumutbar erscheinen zu lassen. Auch die ein- gereichten Beweismittel führen zu keinem anderen Schluss. Auf eine Über- setzung der fremdsprachigen Beweismittel kann in antizipierter Beweis- würdigung verzichtet werden.</w:t>
      </w:r>
    </w:p>
    <w:p>
      <w:r>
        <w:rPr>
          <w:b/>
        </w:rPr>
        <w:t>E. 9.3.4</w:t>
      </w:r>
    </w:p>
    <w:p>
      <w:r>
        <w:t>Nach dem Gesagten erweist sich der Vollzug der Wegweisung auch als zumutbar.</w:t>
      </w:r>
    </w:p>
    <w:p>
      <w:r>
        <w:t>E-2614/2022 Seite 10</w:t>
      </w:r>
    </w:p>
    <w:p>
      <w:r>
        <w:rPr>
          <w:b/>
        </w:rPr>
        <w:t>E. 9.4</w:t>
      </w:r>
    </w:p>
    <w:p>
      <w:r>
        <w:t>Schliesslich verfügt der Beschwerdeführer über einen gültigen Reise- pass,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Der Beschwerdeführer beantragt in der Beschwerde, dass subsubeventu- aliter das Verfahren – mithin die vorliegende Beschwerde – als Asylgesuch zu behandeln sei. Die Behandlung des Antrags, ein ordentliches Asylver- fahren durchzuführen, fällt offensichtlich nicht in der Zuständigkeit der Be- schwerdeinstanz, womit darauf nicht einzutreten ist.</w:t>
      </w:r>
    </w:p>
    <w:p>
      <w:r>
        <w:rPr>
          <w:b/>
        </w:rPr>
        <w:t>E. 11</w:t>
      </w:r>
    </w:p>
    <w:p>
      <w:r>
        <w:t>Aus diesen Erwägungen ergibt sich, dass die angefochtene Verfügung Bundesrecht nicht verletzt, und auch sonst nicht zu beanstanden ist (Art. 106 Abs. 1 AsylG). Die Beschwerde ist abzuweisen, soweit darauf ein- zutreten ist.</w:t>
      </w:r>
    </w:p>
    <w:p>
      <w:r>
        <w:rPr>
          <w:b/>
        </w:rPr>
        <w:t>E. 12.1</w:t>
      </w:r>
    </w:p>
    <w:p>
      <w:r>
        <w:t>Der Antrag auf Verzicht auf die Erhebung eines Kostenvorschusses erweist sich mit vorliegendem Urteil als gegenstandslos.</w:t>
      </w:r>
    </w:p>
    <w:p>
      <w:r>
        <w:rPr>
          <w:b/>
        </w:rPr>
        <w:t>E. 12.2</w:t>
      </w:r>
    </w:p>
    <w:p>
      <w:r>
        <w:t>Nach Prüfung der Akten haben sich die gestellten Rechtsbegehren als aussichtslos erwiesen, weshalb die Gesuche um unentgeltliche Pro- zessführung und um amtliche Rechtsverbeiständung gemäss Art. 65 Abs. 1 VwVG und Art. 72 i.V.m. Art. 102m AsylG unbesehen der finanziellen Ver- hältnisse des Beschwerdeführers abzuweisen sind.</w:t>
      </w:r>
    </w:p>
    <w:p>
      <w:r>
        <w:rPr>
          <w:b/>
        </w:rPr>
        <w:t>E. 12.3</w:t>
      </w:r>
    </w:p>
    <w:p>
      <w:r>
        <w:t>Bei diesem Ausgang des Verfahrens sind die Kosten dem Beschwer- deführer aufzuerlegen (Art. 63 Abs. 1 VwVG) und insgesamt auf Fr. 750.– festzusetzen (Art. 1–3 des Reglements vom 21. Februar 2008 über die Kosten und Entschädigungen vor dem Bundesverwaltungsgericht [VGKE, SR 173.320.2]).</w:t>
      </w:r>
    </w:p>
    <w:p>
      <w:r>
        <w:t>(Dispositiv nächste Seite)</w:t>
      </w:r>
    </w:p>
    <w:p>
      <w:r>
        <w:t>E-2614/2022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