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E-2614/2017 vom 11. Mai 2017</w:t>
      </w:r>
    </w:p>
    <w:p>
      <w:r>
        <w:t>Bundesverwaltungsgericht, 2017-05-11, DE</w:t>
      </w:r>
    </w:p>
    <w:p>
      <w:r>
        <w:rPr>
          <w:b/>
        </w:rPr>
        <w:t xml:space="preserve">Quelle: </w:t>
      </w:r>
      <w:r>
        <w:t>https://mcp.opencaselaw.ch/entscheid/bvger_E-2614_2017</w:t>
      </w:r>
    </w:p>
    <w:p>
      <w:r>
        <w:t>FR: TAF E-2614/2017 du 11 mai 2017</w:t>
      </w:r>
    </w:p>
    <w:p>
      <w:r>
        <w:t>IT: TAF E-2614/2017 del 11 maggio 2017</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Abs. 1 VwVG). Auf die frist- und formgerecht eingereichte Beschwerde (Art. 108 Abs. 2 AsylG und Art. 52 Abs. 1 VwVG) ist - unter Vorbehalt der nachfolgenden Erwägungen - einzutreten.</w:t>
      </w:r>
    </w:p>
    <w:p>
      <w:r>
        <w:rPr>
          <w:b/>
        </w:rPr>
        <w:t>E. 2.1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 Soweit der Beschwerdeführer beantragt, es sei ihm Asyl zu gewähren oder jedenfalls seine Flüchtlingseigenschaft festzustellen und die vorläufige Aufnahme anzuordnen, wird eine Erweiterung des Streitgegenstandes angestrebt, was unzulässig ist. Auf die entsprechenden Anträge ist nicht einzutreten.</w:t>
      </w:r>
    </w:p>
    <w:p>
      <w:r>
        <w:rPr>
          <w:b/>
        </w:rPr>
        <w:t>E. 2.2</w:t>
      </w:r>
    </w:p>
    <w:p>
      <w:r>
        <w:t>Die eingereichte Beschwerde ist sowohl bezüglich der Anträge als auch hinsichtlich der Begründung in deutscher Sprache und somit in einer Amtssprache des Bundes (Art. 70 Abs. 1 BV) abgefasst. Auf den Antrag, die Begründung der Beschwerdeschrift sei von Amtes wegen in eine Amtssprache zu übersetzen, ist demnach nicht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5.1</w:t>
      </w:r>
    </w:p>
    <w:p>
      <w:r>
        <w:t>Gemäss Art. 31a Abs. 1 Bst. c AsylG wird auf ein Asylgesuch nicht eingetreten, wenn Asylsuchende in einen Drittstaat weiterreisen können, in welchem sie sich vorher aufgehalten haben. Diese Bestimmung findet keine Anwendung, wenn Hinweise bestehen, dass im Einzelfall im Drittstaat kein effektiver Schutz vor Rückschiebung nach Art. 5 Abs. 1 AsylG besteht.</w:t>
      </w:r>
    </w:p>
    <w:p>
      <w:r>
        <w:rPr>
          <w:b/>
        </w:rPr>
        <w:t>E. 5.2</w:t>
      </w:r>
    </w:p>
    <w:p>
      <w:r>
        <w:t>Nach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w:t>
      </w:r>
    </w:p>
    <w:p>
      <w:r>
        <w:rPr>
          <w:b/>
        </w:rPr>
        <w:t>E. 6.1</w:t>
      </w:r>
    </w:p>
    <w:p>
      <w:r>
        <w:t>Die Vorinstanz hält in der angefochtenen Verfügung fest, aus dem Reisepass und den Reiseunterlagen des Beschwerdeführers gehe hervor, dass er sich vor seiner Einreise in die Schweiz in Tunesien und Marokko aufgehalten habe. Gemäss den Visabestimmungen beider Länder könne er visumbefreit einreisen und sich dort während drei Monaten aufhalten. Marokko und Tunesien seien dem Protokoll über die Rechtsstellung der Flüchtlinge beigetreten und hätten sich somit zur Einhaltung des Abkommens vom 28. Juli 1951 über die Rechtsstellung der Flüchtlinge (FK, SR 0.142.30) und damit des Prinzips des Non-Refoulement verpflichtet. Es würden keine Hinweise bestehen, dass er in Tunesien oder Marokko keinen Zugang zum Asylsystem habe beziehungsweise er keinen effektiven Schutz vor Rückschiebung im Sinne von Art. 5 Abs. 1 AsylG habe. Der Beschwerdeführer habe kein Asylgesuch in den obengenannten Ländern gestellt und in keiner Weise geltend gemacht, eine Rückschiebung in seine Heimat zu befürchten. Die im Rahmen des rechtlichen Gehörs geltend gemachten Probleme mit der einheimischen Bevölkerung beider Staaten seien nicht geeignet, eine Verfolgung im Sinne von Art. 3 AsylG zu begründen. Es könne ihm somit zugemutet werden, in Tunesien oder Marokko um Schutz nachzusuchen.</w:t>
      </w:r>
    </w:p>
    <w:p>
      <w:r>
        <w:rPr>
          <w:b/>
        </w:rPr>
        <w:t>E. 6.2</w:t>
      </w:r>
    </w:p>
    <w:p>
      <w:r>
        <w:t>Die Schlussfolgerungen der Vorinstanz sind weder in tatsächlicher noch in rechtlicher Hinsicht zu beanstanden. Wie die Vorinstanz zu Recht festgestellt hat, hat sich der Beschwerdeführer gemäss eigenen Aussagen vor der Einreise in die Schweiz in den Drittstatten Tunesien und Marokko aufgehalten und kann er in beide Länder erneut visumsfrei einreisen. Auch trifft zu, dass sowohl Marokko wie Tunesien dem Protokoll über die Rechtsstellung der Flüchtlinge beigetreten sind und somit zur Einhaltung der FK sowie des Non-Refoulement-Gebots verpflichtet sind (vgl. Art. I Abs. 1 des Protokolls über die Rechtstellung der Flüchtlinge, wonach die Vertragsparteien des Protokolls verpflichtet sind, Art. 2-34 FK anzuwenden), mithin Schutz vor Rückschieben in die Elfenbeinküste besteht. In der Rechtsmitteleingabe setzt sich der Beschwerdeführer nicht ansatzweise mit den vorinstanzlichen Erwägungen auseinander. Mit dem blossen Wiederholen des aktenkundigen Sachverhaltes zeigt er nicht auf, inwiefern die angefochtene Verfügung Bundesrecht verletzen oder den Sachverhalt rechtsfehlerhaft festgestellt haben soll. Solches lässt sich auch nicht annehmen. Um Wiederholungen zu vermeiden, kann auf die zutreffenden Ausführungen in der angefochtenen Verfügung verweisen werden.</w:t>
      </w:r>
    </w:p>
    <w:p>
      <w:r>
        <w:rPr>
          <w:b/>
        </w:rPr>
        <w:t>E. 6.3</w:t>
      </w:r>
    </w:p>
    <w:p>
      <w:r>
        <w:t>Nach dem Gesagten ist die Vorinstanz in Anwendung von Art. 31a Abs. 1 Bst. c AsylG zu Recht auf das Asylgesuch des Beschwerdeführers nicht eingetreten.</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wurde demnach zu Recht angeordnet.</w:t>
      </w:r>
    </w:p>
    <w:p>
      <w:r>
        <w:rPr>
          <w:b/>
        </w:rPr>
        <w:t>E. 8</w:t>
      </w:r>
    </w:p>
    <w:p>
      <w:r>
        <w:t>Die vorinstanzliche Beurteilung der Vollzugshindernisse gemäss Art. 83 AuG - zutreffend nur für Marokko und Tunesien geprüft - ist nicht zu beanstanden, mithin kann auf diese verwiesen werden. Das Vorbringen des Beschwerdeführers in der Rechtsmitteleingabe, er sei in beiden Ländern nicht nett behandelt und beschimpft worden, ist nicht geeignet, einen Wegweisungsvollzug nach einem der beiden Staaten als unzumutbar erscheinen zu lassen. Eine vorläufige Aufnahme fällt ausser Betracht.</w:t>
      </w:r>
    </w:p>
    <w:p>
      <w:r>
        <w:rPr>
          <w:b/>
        </w:rPr>
        <w:t>E. 9</w:t>
      </w:r>
    </w:p>
    <w:p>
      <w:r>
        <w:t>Aus diesen Erwägungen ergibt sich, dass die angefochtene Verfügung Bundesrecht nicht verletzt und auch sonst nicht zu beanstanden ist (Art. 106 Abs. 1 AsylG). Die Beschwerde ist abzuweisen, soweit darauf einzutreten ist.</w:t>
      </w:r>
    </w:p>
    <w:p>
      <w:r>
        <w:rPr>
          <w:b/>
        </w:rPr>
        <w:t>E. 10.1</w:t>
      </w:r>
    </w:p>
    <w:p>
      <w:r>
        <w:t>Der Beschwerdeführer beantragt die Gewährung der unentgeltlichen Prozessführung. Aufgrund der vorstehenden Erwägungen ergibt sich, dass seine Begehren als aussichtslos zu gelten haben. Damit ist eine der kumulativ zu erfüllenden Voraussetzungen nicht gegeben, weshalb dem Gesuch nicht stattzugeben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