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E-2613/2023 vom 22. Mai 2023</w:t>
      </w:r>
    </w:p>
    <w:p>
      <w:r>
        <w:t>Bundesverwaltungsgericht, 2023-05-22, DE</w:t>
      </w:r>
    </w:p>
    <w:p>
      <w:r>
        <w:rPr>
          <w:b/>
        </w:rPr>
        <w:t xml:space="preserve">Quelle: </w:t>
      </w:r>
      <w:r>
        <w:t>https://mcp.opencaselaw.ch/entscheid/bvger_E-2613_2023</w:t>
      </w:r>
    </w:p>
    <w:p>
      <w:r>
        <w:t>FR: TAF E-2613/2023 du 22 mai 2023</w:t>
      </w:r>
    </w:p>
    <w:p>
      <w:r>
        <w:t>IT: TAF E-2613/2023 del 22 maggio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Gestützt auf Art. 111a Abs. 1 AsylG wurde auf einen Schriftenwechsel verzichtet.</w:t>
      </w:r>
    </w:p>
    <w:p>
      <w:r>
        <w:rPr>
          <w:b/>
        </w:rPr>
        <w:t>E. 3.1</w:t>
      </w:r>
    </w:p>
    <w:p>
      <w:r>
        <w:t>Der Beschwerdeführer rügt in formeller Hinsicht eine Verletzung des rechtlichen Gehörs, da das Dublin-Gespräch in Abwesenheit seiner Rechtsvertretung geführt worden sei. Obwohl das SEM Kenntnis vom Mandatsverhältnis gehabt habe, habe es weder sein ausdrückliches Einverständnis für die Durchführung des Gesprächs in Abwesenheit der Rechtsvertretung eingeholt noch ihn auf seine Rechte und die Konsequenzen eines Verzichts hingewiesen. Diese Rüge ist vorab zu beurteilen, da sie allenfalls eine Kassation der angefochtenen Verfügung zu bewirken vermag.</w:t>
      </w:r>
    </w:p>
    <w:p>
      <w:r>
        <w:rPr>
          <w:b/>
        </w:rPr>
        <w:t>E. 3.2</w:t>
      </w:r>
    </w:p>
    <w:p>
      <w:r>
        <w:t>Das Bundesverwaltungsgericht hat sich im kürzlich ergangenen Urteil D-221/2023 vom 8. März 2023 eingehend mit dieser Problematik auseinandergesetzt - dies auch unter Hinweis auf die vom Beschwerdeführer im vorliegenden Verfahren ebenfalls zitierten Urteile des Bundesverwaltungsgerichts (D-5650 vom 15. Dezember 2022 und E-4638/2022 vom 21. Oktober 2022). Das Gericht kam darin zum Schluss, dass der Entscheid über die Notwendigkeit der Teilnahme am Dublin-Gespräch der zugewiesenen Rechtsvertretung obliegt und die Nicht-Teilnahme der Rechtsvertretung bei rechtzeitiger Mitteilung des Termins die Rechtswirkung der Verfahrensschritte nicht hemmt (vgl. a.a.O. E. 3.5; Art. 102j Abs. 2 AsylG).</w:t>
      </w:r>
    </w:p>
    <w:p>
      <w:r>
        <w:rPr>
          <w:b/>
        </w:rPr>
        <w:t>E. 3.3</w:t>
      </w:r>
    </w:p>
    <w:p>
      <w:r>
        <w:t>Entsprechende Umstände liegen auch in casu vor. Die Vorinstanz hat die Vorladung zum Dublin-Gespräch am 26. Oktober 2022 via das SPOC Rechtsbüro Basel zugestellt. Die daraufhin mandatierte Rechtsvertretung führte am 28. Oktober 2022 zusammen mit dem Beschwerdeführer ein Beratungsgespräch durch und nahm gleichentags eine erste Eingabe zuhanden der Vorinstanz vor (vgl. vorinstanzliche Akten [...]-16/1 [nachfolgend: act.16]). Die Rechtsvertretung hatte aufgrund der Aktenlage bereits mehrere Tage vor dem Gespräch - und damit rechtzeitig - Kenntnis über den anstehenden Termin. Dies wird denn auch weder von der vormaligen noch der aktuellen Rechtsvertretung bestritten. Der Beschwerdeführer unterstreicht in seiner Rechtsmitteleingabe vom 9. Mai 2023 sogar ausdrücklich, dass die «Abwesenheit der Rechtsvertretung auf Gründen, die von der damaligen Rechtsvertretung zu verantworten seien, beruhten» (vgl. Beschwerdeschrift, Ziffer 20). Weder der Beschwerdeführer noch seine Rechtsvertretung bestreiten die rechtzeitige Kenntnisnahme über das anstehende Dublin-Gespräch, sondern vertreten lediglich die Auffassung, dass die Nichtteilnahme der vormaligen Rechtsvertretung am Dublin-Gespräch aus Kapazitätsgründen dem Beschwerdeführer nicht zum Nachteil gereichen sollte. Damit gehen sie aber - wie in D-221/2023 ausgeführt - fehl und sind damit nicht zu hören (vgl. beispielsweise ebenso E-2065/2023 vom 25. April 2023, S. 6). Eine Verletzung des rechtlichen Gehörs liegt somit nicht vor. Die Frage, ob nicht ohnehin bereits die anlässlich des Dublin-Gesprächs protokollierte, unterschriftliche Aussage des Beschwerdeführers, es sei für ihn «kein Problem» und er würde trotz Kenntnis der kapazitätsbedingten Abwesenheit seiner Rechtsvertretung gleichwohl «das Dublin-Gespräch gerne heute durchführen» (vgl. act. 14 S. 1), einen ausdrücklichen Verzicht auf die Teilnahme seiner Rechtsvertretung darstellt, kann vor diesem Hintergrund somit offen gelassen werden. Weiter war es ihm anlässlich des besagten Termins möglich, sich einlässlich zur Sache zu äussern und seine Vorbringen ausführlich vorzutragen; was im Übrigen weder von ihm noch von seiner Rechtsvertreterin bestritten wird. Ergänzend darf auch darauf hingewiesen werden, dass die vormalige Rechtsvertretung in der Folge noch mit mehreren Eingaben (vgl. Bst. C und E) an das SEM gelangt ist. Entgegen der sinngemässen Darstellung in der Beschwerde geht somit aus den Akten hervor, dass der Beschwerdeführer sowohl zeitlich vor dem Dublin-Gespräch (vgl. Beratungsgespräch) wie auch zeitlich nach dem Dublin-Gespräch (vgl. vorgenannte ergänzende Eingaben) von seiner vormaligen Rechtsvertretung eng begleitet wurde und er sich umfassend zum relevanten Sachverhalt äussern konnte. Im Übrigen ergeben sich aus den Akten auch keine Hinweise, die darauf schliessen liessen, dass der zugewiesenen Rechtsvertretung das Protokoll des Dublin-Gesprächs nicht zugestellt worden wäre. Dem Protokoll ist vielmehr zu entnehmen, dass das SEM beabsichtigte, dieses im Anschluss an das Gespräch der Rechtsvertretung zuzustellen (vgl. a.a.O.). Die Rechtsvertretung ist - wie bereits erwähnt - danach noch mit sechs separaten Beweismitteleingaben/Schreiben (vgl. vorstehend Bst. C und E) an das SEM gelangt. Vorbehalte wurden weder im Rahmen dieser Eingaben noch sonst aktenkundig gemacht. Im Anschluss an die Eröffnung der angefochtenen Verfügung legte die zugewiesene Rechtsvertretung ihr Mandat nieder (vgl. act. 44). In der Beschwerde wird schliesslich auch nicht geltend gemacht, dass - gegebenenfalls inwiefern konkret - der rechtserhebliche Sachverhalt unvollständig festgestellt worden wäre.</w:t>
      </w:r>
    </w:p>
    <w:p>
      <w:r>
        <w:rPr>
          <w:b/>
        </w:rPr>
        <w:t>E. 3.4</w:t>
      </w:r>
    </w:p>
    <w:p>
      <w:r>
        <w:t>Die Rüge der Verletzung des rechtlichen Gehörs erweist sich somit als unbegründet und eine Rückweisung der Sache an das SEM ist nicht angezeigt. Das Hauptbegehren ist daher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4.5</w:t>
      </w:r>
    </w:p>
    <w:p>
      <w:r>
        <w:t>Den vorliegenden Akten ist zu entnehmen, dass sich der Beschwerdeführer vor seiner Einreise in die Schweiz in Kroatien aufgehalten hat. Die kroatischen Behörden stimmten dem Gesuch des SEM um Übernahme am 9. Januar 2023 gestützt auf Art. 13 Abs. 1 Dublin-III-VO (illegaler Grenzübertritt) zu. Es handelt sich also um ein sogenanntes Take-Charge (Aufnahme-)Verfahren. Die grundsätzliche Zuständigkeit Kroatiens ist somit gegeben, was vom Beschwerdeführer auch nicht bestritten wird.</w:t>
      </w:r>
    </w:p>
    <w:p>
      <w:r>
        <w:rPr>
          <w:b/>
        </w:rPr>
        <w:t>E. 4.6</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4.6.1</w:t>
      </w:r>
    </w:p>
    <w:p>
      <w:r>
        <w:t>Im Referenzurteil Urteil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Das Gericht geht hierbei davon aus, dass nicht zu befürchten sei, Dublin-Rückkehrende würden ohne Eröffnung und Durchführung eines Asylverfahrens aus Kroatien rechtswidrig ausgeschafft. Auch liessen sich keine Anzeichen dafür finden, wonach Take-Charge-Fälle (Aufnahme) diesbezüglich anders zu beurteilen wären als Take-Back-Fälle (Wiederaufnahme),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erhalten würden, unabhängig davon, ob die gesuchstellende Person im Rahmen eines Take-Charge oder Take-Back Verfahrens überstellt werde. Insbesondere bestehe keine beachtliche Wahrscheinlichkeit, die Überstellten würden der Gefahr einer Verletzung ihrer aus dem Refoulement-Verbot fliessenden Rechte ausgesetzt werden (vgl. a.a.O. E. 9.5).</w:t>
      </w:r>
    </w:p>
    <w:p>
      <w:r>
        <w:rPr>
          <w:b/>
        </w:rPr>
        <w:t>E. 4.6.2</w:t>
      </w:r>
    </w:p>
    <w:p>
      <w:r>
        <w:t>Auch unter Berücksichtigung der vom Beschwerdeführer anlässlich des Dublin-Gesprächs und in der Beschwerdeschrift behaupteten Vorkommnisse (er sei angeblich von vermutungsweise kroatischen Polizisten bis zur Bewusstlosigkeit geschlagen und getasert worden) sowie der angeführten Berichte - welche den dem Referenzurteil E-1488/2020 zugrundeliegenden Informationen zur Situation in Kroatien keine neue Dimension hinzuzufügen vermögen - ist nicht davon auszugehen, Kroatien als Signatarstaat der EMRK, der FoK und des Abkommens vom 28. Juli 1951 über die Rechtsstellung der Flüchtlinge (FK, SR 0.142.30) sowie des Zusatzprotokolls der FK vom 31. Januar 1967 (SR 0.142.301) verstosse systematisch gegen seine vertraglichen (völkerrechtlichen) Verpflichtungen. Es darf davon ausgegangen werden, Kroatien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vom Beschwerdeführer für die Zeit seines Aufenthalts in Kroatien behaupteten Misshandlungen durch Polizisten sowie die angebliche schlechte Behandlung durch die Behörden rechtfertigen nicht, davon auszugehen, dass er bei einer Rückkehr mit hoher Wahrscheinlichkeit Opfer einer unmenschlichen oder erniedrigenden Behandlung im Sinne von Art. 3 EMRK, Art. 3 FoK oder Art. 4 EU-Grundrechtecharte würde. Bei Fehlverhalten einzelner Beamter könnte er sich zudem an die zuständigen kroatischen Stellen wenden. Es ist auch nicht davon auszugehen, dass er bei einer Wegweisung nach Kroatien in eine existenzielle Notlage geraten könnte. Die Beschwerdeausführungen vermögen an der geltenden und kürzlich aktualisierten Praxis des Bundesverwaltungsgerichts (vgl. vorstehend E. 4.6.1) somit nichts zu ändern.</w:t>
      </w:r>
    </w:p>
    <w:p>
      <w:r>
        <w:rPr>
          <w:b/>
        </w:rPr>
        <w:t>E. 4.6.3</w:t>
      </w:r>
    </w:p>
    <w:p>
      <w:r>
        <w:t>Unter diesen Umständen ist die Anwendung von Art. 3 Abs. 2 Dublin-III-VO nicht gerechtfertigt.</w:t>
      </w:r>
    </w:p>
    <w:p>
      <w:r>
        <w:rPr>
          <w:b/>
        </w:rPr>
        <w:t>E. 4.7.1</w:t>
      </w:r>
    </w:p>
    <w:p>
      <w:r>
        <w:t>Der Beschwerdeführer fordert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4.7.2</w:t>
      </w:r>
    </w:p>
    <w:p>
      <w:r>
        <w:t>Der Beschwerdeführer hat kein konkretes und ernsthaftes Risiko dargetan, die kroatischen Behörden würden sich weigern, ihn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Er wird im Rahmen der Dublin-III-VO nach Kroatien überstellt werden und dort die Möglichkeit erhalten, ein Asylgesuch zu stellen. Ausserdem hat er nicht dargetan, die ihn bei einer Rückführung erwartenden Bedingungen in Kroatien seien derart schlecht, dass sie zu einer Verletzung von Art. 4 der EU-Grundrechtecharta, Art. 3 EMRK oder Art. 3 FoK führen könnten. Er hat auch keine konkreten Hinweise für die Annahme dargetan, Kroatien würde ihm dauerhaft die ihm gemäss Aufnahmerichtlinie zustehenden minimalen Lebensbedingungen vorenthalten. Bei einer allfälligen vorübergehenden Einschränkung könnte er sich im Übrigen nötigenfalls an die kroatischen Behörden wenden und die ihm zustehenden Aufnahmebedingungen auf dem Rechtsweg einfordern (vgl. Art. 26 Aufnahmerichtlinie). Die Lage an der Grenze ist nicht vergleichbar mit der Situation, in der er sich bei einer Überstellung im Rahmen des Dublin-Verfahrens befinden wird.</w:t>
      </w:r>
    </w:p>
    <w:p>
      <w:r>
        <w:rPr>
          <w:b/>
        </w:rPr>
        <w:t>E. 4.7.3</w:t>
      </w:r>
    </w:p>
    <w:p>
      <w:r>
        <w:t>Im Weiteren vermag der Gesundheitszustand des Beschwerdeführers eine Unzulässigkeit des Vollzugs der Wegweisung nach Kroatien im Sinne der restriktiven Rechtsprechung (vgl. BVGE 2011/9 E. 7 mit Hinweisen auf die damalige Praxis des Europäischen Gerichtshofs für Menschenrechte [EGMR] sowie Urteil des EGMR Paposhvili gegen Belgien 13. Dezember 2016, Grosse Kammer 41738/10, §§ 180-193 m.w.H.) nicht zu rechtfertigen. Die gesundheitlichen Probleme (gemäss den aktenkundigen Arztberichten [...]) sind auch nicht von einer derartigen Schwere, dass aus humanitären Gründen von einer Überstellung abgesehen werden müsste. Diesbezüglich kann zur Vermeidung von Wiederholungen vollumfänglich auf die zutreffenden vorinstanzlichen Erwägungen in der angefochtenen Verfügung verwiesen werden (vgl. dort S. 6 f.), denen mit der Beschwerde nichts Stichhaltiges entgegengehalten wurde. Im Übrigen wurde dem Beschwerdeführer trotz drei Terminen bei den (...) keine Traumatisierung attestiert, weshalb bei einer Überstellung nach Kroatien nicht von einer Retraumatisierung auszugehen ist. Sodann ist auch unter Berücksichtigung der psychischen Probleme kein Abhängigkeitsverhältnis zwischen dem Beschwerdeführer und seinem [Verwandter] ersichtlich. Der Umstand, dass sich sein [Verwandter] in der Schweiz befindet, steht somit einer Überstellung nach Kroatien nicht im Weg. Die schweizerischen Behörden, die mit dem Vollzug der angefochten Verfügung beauftragt sind, werden den medizinischen Umständen bei der Bestimmung der konkreten Modalitäten der Überstellung des Beschwerdeführers Rechnung tragen und die kroatischen Behörden vorgängig in geeigneter Weise über die spezifischen medizinischen Umstände informieren (vgl. Art. 31 f. Dublin-III-VO; vgl. auch act. 41).</w:t>
      </w:r>
    </w:p>
    <w:p>
      <w:r>
        <w:rPr>
          <w:b/>
        </w:rPr>
        <w:t>E. 4.7.4</w:t>
      </w:r>
    </w:p>
    <w:p>
      <w:r>
        <w:t>Die angefochtene Verfügung ist unter dem Blickwinkel von Art. 29a Abs. 3 AsylV 1 nicht zu beanstanden; insbesondere sind den Akten keine Hinweise auf einen Ermessensmissbrauch oder ein Über- respektive Unterschreiten des Ermessens zu entnehmen. Das Gericht enthält sich deshalb in diesem Zusammenhang weiterer Äusserungen.</w:t>
      </w:r>
    </w:p>
    <w:p>
      <w:r>
        <w:rPr>
          <w:b/>
        </w:rPr>
        <w:t>E. 4.7.5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4.8</w:t>
      </w:r>
    </w:p>
    <w:p>
      <w:r>
        <w:t>Somit bleibt Kroatien der für die Behandlung des Asylgesuchs des Beschwerdeführers zuständige Mitgliedstaat gemäss Dublin-III-VO. Kroatien ist verpflichtet, den Beschwerdeführer gemäss Art. 21, 22 und 29 Dublin-III-VO 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6</w:t>
      </w:r>
    </w:p>
    <w:p>
      <w:r>
        <w:t>Aufgrund des Ausgeführten erscheint es nicht angezeigt, das SEM dazu zu verpflichten, von den kroatischen Behörden vor einer Überstellung individuelle Zusicherungen bezüglich des Zugangs zum Asylverfahren, adäquater Unterbringung sowie psychologischer Behandlung einzuholen. Der entsprechende Subeventualantrag ist abzuweisen.</w:t>
      </w:r>
    </w:p>
    <w:p>
      <w:r>
        <w:rPr>
          <w:b/>
        </w:rPr>
        <w:t>E. 7</w:t>
      </w:r>
    </w:p>
    <w:p>
      <w:r>
        <w:t>Nach dem Gesagten ist die Beschwerde abzuweisen und die Verfügung des SEM zu bestätigen.</w:t>
      </w:r>
    </w:p>
    <w:p>
      <w:r>
        <w:rPr>
          <w:b/>
        </w:rPr>
        <w:t>E. 8.1</w:t>
      </w:r>
    </w:p>
    <w:p>
      <w:r>
        <w:t>Das Beschwerdeverfahren ist mit vorliegendem Urteil abgeschlossen. Die Anträge auf Erteilung der aufschiebenden Wirkung und Befreiung von der Kostenvorschusspflicht erweisen sich somit als gegenstandslos. Der angeordnete Vollzugsstopp fällt dahin.</w:t>
      </w:r>
    </w:p>
    <w:p>
      <w:r>
        <w:rPr>
          <w:b/>
        </w:rPr>
        <w:t>E. 8.2</w:t>
      </w:r>
    </w:p>
    <w:p>
      <w:r>
        <w:t>Die mit der Beschwerde gestellten Gesuche um Gewährung der unentgeltlichen Prozessführung und amtlichen Verbeiständung sind abzuweisen, da die Begehren - wie sich aus den vorstehenden Erwägungen ergibt - als aussichtlos zu bezeichnen waren, weshalb die Voraussetzungen von Art. 65 Abs. 1 VwVG respektive Art. 102m Abs. 1 AsylG nicht erfüllt sind.</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