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E-2610/2021 vom 29. April 2021</w:t>
      </w:r>
    </w:p>
    <w:p>
      <w:r>
        <w:t>Bundesverwaltungsgericht, 2021-04-29, FR</w:t>
      </w:r>
    </w:p>
    <w:p>
      <w:r>
        <w:rPr>
          <w:b/>
        </w:rPr>
        <w:t xml:space="preserve">Quelle: </w:t>
      </w:r>
      <w:r>
        <w:t>https://mcp.opencaselaw.ch/entscheid/bvger_E-2610_2021_d20210429</w:t>
      </w:r>
    </w:p>
    <w:p>
      <w:r>
        <w:t>FR: TAF E-2610/2021 du 29 avril 2021</w:t>
      </w:r>
    </w:p>
    <w:p>
      <w:r>
        <w:t>IT: TAF E-2610/2021 del 29 aprile 2021</w:t>
      </w:r>
    </w:p>
    <w:p>
      <w:pPr>
        <w:pStyle w:val="Heading2"/>
      </w:pPr>
      <w:r>
        <w:t>Regeste</w:t>
      </w:r>
    </w:p>
    <w:p>
      <w:r>
        <w:t>Asile et renvoi | Asile et renvoi; décision du SEM du 29 avril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que la décision du SEM, du 29 avril 2021 est annulée et la cause renvoyée au SEM qui statuera à nouveau, après instruction complémentaire de la cause de son époux, de manière conjointe sur leurs deux dossiers, vu la connexité des affaires.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SEM versera à la recourante la somme de 300 francs à titre de dépens.</w:t>
      </w:r>
    </w:p>
    <w:p>
      <w:r>
        <w:rPr>
          <w:b/>
        </w:rPr>
        <w:t>E. 4</w:t>
      </w:r>
    </w:p>
    <w:p>
      <w:r>
        <w:t>Le présent arrêt est adressé aux recourants,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