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E-2610/2017 vom 17. September 2018</w:t>
      </w:r>
    </w:p>
    <w:p>
      <w:r>
        <w:t>Bundesverwaltungsgericht, 2018-09-17, DE</w:t>
      </w:r>
    </w:p>
    <w:p>
      <w:r>
        <w:rPr>
          <w:b/>
        </w:rPr>
        <w:t xml:space="preserve">Quelle: </w:t>
      </w:r>
      <w:r>
        <w:t>https://mcp.opencaselaw.ch/entscheid/bvger_E-2610_2017</w:t>
      </w:r>
    </w:p>
    <w:p>
      <w:r>
        <w:t>FR: TAF E-2610/2017 du 17 septembre 2018</w:t>
      </w:r>
    </w:p>
    <w:p>
      <w:r>
        <w:t>IT: TAF E-2610/2017 del 17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Der vorliegenden Beschwerde kommt von Gesetzes wegen aufschiebende Wirkung zu (vgl. Art. 42 AsylG und Art. 55 VwVG) und die Vorinstanz hat diese auch nicht entzogen, weshalb der entsprechende Antrag hinfällig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künftiger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2013/11 E. 5.1; 2011/50 E. 3.1.1; 2011/51 E. 6, je m.w.H.).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Vorbringen des Beschwerdeführers als den Anforderungen an die Asylrelevanz nicht genügend, weshalb er die Flüchtlingseigenschaft nicht erfülle. Die geltend gemachte Haft (ein Jahr ab [...] 2009) habe bei seiner Ausreise über fünf Jahre zurückgelegen. Seinen Angaben zufolge sei er überdies aus der Haft entlassen worden, ohne in ein Rehabilitationscamp eingewiesen worden zu sein. Es sei daher anzunehmen, dass die Behörden ihn nicht weiter als LTTE-Mitglied verdächtigt hätten. Auch wenn er in dieser Haft unter Umständen schlimme Erfahrungen gemacht habe, so vermöge diese keine Asylrelevanz zu entfalten. Die Frage, ob er zum Zeitpunkt seiner Ausreise im (...) 2015 begründete Furcht gehabt habe, in absehbarer Zukunft asylrelevanten Nachteilen ausgesetzt zu sein, sei zu verneinen. Einerseits seien die von ihm erlittenen Benachteiligungen in Form von gelegentlichen Befragungen von der Dauer eines Tages - bei denen er manchmal geschlagen worden sei - nicht intensiv genug gewesen. Andererseits lasse sich in diesen Befragungen kein asylbeachtliches Motiv erkennen. Gemäss seinen Aussagen sei er zu Waffenverstecken befragt worden, weil er in der Nähe eines LTTE-Anführers gewohnt habe. Ein anderer Nachbar sei auch befragt worden. Er (Beschwerdeführer) sei aufgrund seines Wohnortes ausgewählt worden. Der Staat sei an allfälligen Informationen zu Waffenverstecken interessiert gewesen, weshalb die durchgeführten Befragungen - abgesehen vom Fehlverhalten der Befrager - als legitim zu erachten seien. Die eingereichten Beweismittel vermöchten die festgestellte fehlende Asylrelevanz nicht zu widerlegen.</w:t>
      </w:r>
    </w:p>
    <w:p>
      <w:r>
        <w:rPr>
          <w:b/>
        </w:rPr>
        <w:t>E. 5.2</w:t>
      </w:r>
    </w:p>
    <w:p>
      <w:r>
        <w:t>In seiner Beschwerdeschrift bekräftigt der Beschwerdeführer, er sei aufgrund vermuteter Verbindungen zu den LTTE ein Jahr lang in Haft gewesen, wo er mehrfach unter Anwendung von Gewalt verhört worden sei. Zudem bringt er erstmals vor, er sei in den Verhören auch sexuell missbraucht worden, wobei er an Genitalien und After misshandelt worden sei. Die Gefangenen hätten daher stets Angst vor weiteren Misshandlungen gehabt. Seit seiner Haftentlassung leide er an einem (...). Zudem sei er nach seiner Freilassung während fünf Jahren unregelmässig - manchmal monatlich - bei sich zu Hause von Leuten des CID abgeholt und zu stundenlangen Befragungen mitgenommen worden. Dabei sei ihm unterstellt worden, Kenntnisse über Waffenverstecke und Aktivitäten der LTTE zu haben. Entgegen den vorinstanzlichen Ausführungen habe es sich bei diesen Befragungen nicht um staatliche, informative Routineuntersuchungen zu Waffenfunden gehandelt. Er sei gezielt und im Zusammenhang mit seiner vorherigen Haft für diese Befragungen ausgewählt worden. Da er während fünf Jahren als einziges männliches Mitglied der Familie befragt worden sei, sei der Verdacht, welcher zu seiner Verhaftung geführt habe, noch aktuell. Bei den Besuchen des CID habe er immer Angst vor erneuter Verhaftung sowie Folter gehabt. Gerade weil sich diese Befragungen wiederholt und nicht abgenommen hätten, sei der psychische Druck für ihn unerträglich gewesen. Falls die Intensität der erlebten Vorverfolgung (psychischer Druck) nicht als hinreichend beurteilt werde, so habe er in subjektiver sowie objektiver Hinsicht begründete Furcht vor künftiger asylrelevanter Verfolgung. Seine Familie habe er nicht verlassen wollen; weil sich seine Situation in der Heimat jedoch nicht verbessert habe, habe er ausreisen müssen. Im Rahmen einer Gesamtwürdigung sei daher festzuhalten, dass die Verfolgung in Form der einjährigen Haft und der mehrjährigen Befragungen durch das CID eine aktuelle und künftige asylrelevante Verfolgung begründen würden. Ferner habe er sich durch seinen Aufenthalt in der Schweiz aus der Sicht der Behörden verdächtig gemacht, da Auslandsaufenthalte von Tamilen häufig als Versuch zur Vornahme von politischen Aktivitäten verstanden würden. Das Durchlaufen eines Asylverfahrens in der Schweiz stelle für sie einen schwerwiegenden Risikofaktor dar. Auf Beschwerdeebene reicht er das unter Buchstabe E. erwähnte Beweismittel ein.</w:t>
      </w:r>
    </w:p>
    <w:p>
      <w:r>
        <w:rPr>
          <w:b/>
        </w:rPr>
        <w:t>E. 6.1</w:t>
      </w:r>
    </w:p>
    <w:p>
      <w:r>
        <w:t>Die Vorinstanz ist in ihren Erwägungen zur zutreffenden Erkenntnis gelangt, die Verfolgungsvorbringen des Beschwerdeführers würden den Anforderungen an die Asylrelevanz nicht genügen, weshalb er die Flüchtlingseigenschaft nicht erfülle. Auf die betreffenden Erwägungen der Vorinstanz gemäss angefochtener Verfügung und Zusammenfassung in E. 5.1 oben kann zur Vermeidung von Wiederholungen verwiesen werden; sie sind nicht zu beanstanden. Der Inhalt der Beschwerde führt zu keiner anderen Betrachtungsweise und vermag aufgrund der Sachverhaltsbekräftigungen die fehlende Asylrelevanz der Vorbringen nicht zu widerlegen. Zwischen der Verhaftung des Beschwerdeführers im (...) 2009 beziehungsweise seiner Haftentlassung ein Jahr später und der Ausreise aus Sri Lanka im (...) 2015 besteht vorliegend kein zeitlicher sowie sachlicher Kausalzusammenhang, weshalb dieses Ereignis nicht als fluchtauslösend zu erachten ist. Hinsichtlich der erstmals auf Beschwerdeebene vorgebrachten sexuellen Missbräuche des Beschwerdeführers während der Gefangenschaft ist festzuhalten, dass er diese weder in der Anhörung noch in der BzP erwähnte. Eine Erklärung, weshalb er diese erstmals auf Beschwerdeebene erwähnt, liegt nicht vor. Zudem beschreibt er weder den genauen Ablauf der Übergriffe noch seine damalige Gefühlslage. Die geltend gemachten sexuellen Missbräuche während der Gefangenschaft sind daher als nachgeschoben zu beurteilen und im Kontext der fehlenden Asylrelevanz der Haft auch nicht als asylbeachtlich zu qualifizieren. Die Befragungen durch das CID nach seiner Haftentlassung im Jahr 2010 bis zu seiner Ausreise im Jahr 2015 fanden seinen Angaben zufolge unregelmässig - manchmal einmal pro Monat mit anschliessend unbekannt langen Pausen (vgl. SEM-Akten A18 S. 10) - während eines Zeitraums von fünf Jahren statt. Er wurde meistens morgens abgeholt und gleichentags am Abend oder in der Nacht wieder freigelassen (vgl. A18 S. 11). Angesichts der vorliegenden Anhaltspunkte zu Anzahl, Zeitspanne, Art und Dauer der jeweiligen Befragungen durch das CID sind die erlittenen Nachteile in einer Gesamtwürdigung als asylrechtlich nicht genügend intensiv zu qualifizieren. Hinsichtlich dieser Vorbringen besteht somit vorliegend ebenfalls keine begründete Furcht vor künftiger asylrelevanter Verfolgung in Form von weiteren solchen Befragungen. Das eingereichte Schreiben eines Parlamentsmitglieds des Wahlbezirks Jaffna betreffend Befragungen des Beschwerdeführers durch das CID vermag an den bisher gewonnen Erkenntnissen nichts zu ändern.</w:t>
      </w:r>
    </w:p>
    <w:p>
      <w:r>
        <w:rPr>
          <w:b/>
        </w:rPr>
        <w:t>E. 6.2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 Anlässlich der BzP erklärte der Beschwerdeführer, mit seinem im (...) 2015 von den Behörden in Colombo ausgestellten Pass und einem (...)visum für die Türkei legal von Colombo via Katar nach Istanbul geflogen und von dort aus weitergereist zu sein. Seinen Pass habe ihm sodann ein Kollege des Schleppers in der Türkei abgenommen (vgl. A6 S. 6). Aus Sri Lanka konnte er somit mit seinem eigenen, kurz vor der Reise ausgestellten Pass ausreisen, ohne dass er angehalten worden wäre. Es ist deshalb nicht davon auszugehen, dass er auf einer sogenannten "Stop-List" vermerkt wurde. Nachdem die Asylvorbringen des Beschwerdeführers als nicht asylrelevant eingestuft wurden, er keine nachgewiesene Verbindung zu den LTTE aufweist, nicht auf der "Stop-List" vermerkt ist und sich nicht exilpolitisch betätigt hat, erfüllt er keine der oben erwähnten stark risikobegründenden Faktoren. Alleine aus der tamilischen Ethnie und seiner Landesabwesenheit kann er keine Gefährdung ableiten. Es ist nicht anzunehmen, dass ihm persönlich im Falle einer Rückkehr nach Sri Lanka ernsthafte Nachteile im Sinne von Art. 3 AsylG drohen würden.</w:t>
      </w:r>
    </w:p>
    <w:p>
      <w:r>
        <w:rPr>
          <w:b/>
        </w:rPr>
        <w:t>E. 6.3</w:t>
      </w:r>
    </w:p>
    <w:p>
      <w:r>
        <w:t>Aufgrund des Gesagten ist festzuhalten, dass die Vorinstanz das Bestehen einer asylrelevanten Verfolgungssituation des Beschwerdeführers und mithin dessen behauptete Ansprüche auf Feststellung der Flüchtlingseigenschaft und auf Gewährung des Asyls zu Recht verneint hat.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bringt vor, rückkehrende Tamilen würden bei der Einreise nach Sri Lanka verhaftet sowie misshandelt. Ausserdem leide er seit seiner Haftentlassung im (...) 2010 an einer (...), welche durch die wiederkehrenden Befragungen durch das CID verstärkt worden sei. Trotz der Fürsorge seiner Familie und ärztlicher Behandlungen im I._______ habe er sein (...) in seiner Heimat nicht überwinden können.</w:t>
      </w:r>
    </w:p>
    <w:p>
      <w:r>
        <w:rPr>
          <w:b/>
        </w:rPr>
        <w:t>E. 8.3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Nach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Im vorliegenden Fall ergeben sich weder aus den Aussagen des Beschwerdeführers noch aus den Akten konkrete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8.4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f.). In seinem neusten als Referenzurteil publizierten Entscheid erachtet das Bundesverwaltungsgericht auch den Wegweisungsvollzug ins "Vanni-Gebiet" als zumutbar (vgl. Urteil des Bundesverwaltungsgerichts D-3619/2016 vom 16. Oktober 2017 E. 9.5). Gemäss Akten lebte der Beschwerdeführer von 1996 bis zu seiner Ausreise im (...) 2015 bei seinen Eltern in C._______, im Vanni-Gebiet. Er ist (...)-jährig und verfügt mit seinem A-Level Abschluss über eine gute Schulbildung. Zusammen mit seinem Vater arbeitete er auf der eigenen (...). Mit seinen Eltern, seiner Freundin und weiteren Familienangehörigen steht er in Kontakt (vgl. A18 S. 3, 4). Es ist daher davon auszugehen, dass ihn seine Familie und seine Freundin bei der Wiedereingliederung unterstützen werden und er auf der familienbetriebenen (...) wieder mitarbeiten können wird. Zu seinem Gesundheitszustand ist festzuhalten, dass er an einer (...) leidet, welche er bis zum (...) 2015 im I._______, behandeln liess (vgl. Schreiben I._______, vom 6. November 2015). Zudem verursachen seine (...) beziehungsweise (...) (vgl. Arztbericht vom 17. Mai 2017, S. 1). Neben der bereits bekannten (...) weist er auch Symptome einer (...) auf, weshalb er mit (...) behandelt wird (vgl. Arztbericht vom 17. Mai 2017, S. 2). Obwohl das öffentliche Gesundheitssystem im Norden Sri Lankas bezüglich Kapazität und Infrastruktur gewisse Mängel aufweist, ist vorliegend davon auszugehen, dass es für den Beschwerdeführer zumutbar ist, sich hinsichtlich seiner (...) Beschwerden erneut an das I._______ zu wenden, zumal er dort bereits in den Jahren (...) bis (...) in Behandlung gewesen ist. Es ist zwar nicht auszuschliessen, dass sich eine Rückkehr nach Sri Lanka zunächst negativ auf seinen (...) Zustand auswirken könnte. Aus seiner emotionalen Reaktion bei der Anhörung geht aber hervor, dass er seine Familie vermisst (vgl. A18 S. 7). Er hat sich in der Schweiz offenbar nicht integrieren können (vgl. Bericht L._______ vom 30. Januar 2017). Eine allfällige Behandlung im Heimatland (vertraute Umgebung sowie Kommunikation in der Muttersprache) könnte daher durchaus positive Aspekte mit sich bringen. Die bisherige medikamentöse Behandlung mit einem (...) wäre bei der SPC (State Pharmaceutical Corporation) je nach aktueller Nachfragelage grundsätzlich kostenlos erhältlich (vgl. Urteil E-1866/2015 E. 14.2.2). Zudem kann der Beschwerdeführer für die erste Zeit in seiner Heimat medizinische Rückkehrhilfe in Anspruch nehmen (vgl. Art. 93 Abs. 1 Bst. d AsylG i.V.m. Art. 75 der Asylverordnung 2 vom 11. August 1999 [AsylV 2, SR 142.312]). Das als Beweismittel eingereichte Schreiben des Direktors aus der K._______ Jaffna vom 29. November 2015 vermag an den bisher gewonnenen Erkenntnissen nichts zu ändern. Zusammenfassend ist somit aufgrund der bestehenden Akten nicht davon auszugehen, dass eine Rückkehr nach Sri Lanka zu einer raschen und lebensgefährdenden Beeinträchtigung seines Gesundheitszustandes führen würde. Seine (...) Erkrankung stellt demnach kein Wegweisungsvollzugshindernis dar.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ist festzuhalten, dass die Vorinstanz den Wegweisungsvollzug zu Recht als zulässig, zumutbar und möglich bezeichnet hat.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Angesichts der mit Zwischenverfügung des Bundesverwaltungsgerichts vom 10. Mai 2017 gewährten unentgeltlichen Prozessführung nach Art. 65 Abs. 1 VwVG ist auf deren Erhebung jedoch zu verzichten.</w:t>
      </w:r>
    </w:p>
    <w:p>
      <w:r>
        <w:rPr>
          <w:b/>
        </w:rPr>
        <w:t>E. 10.2</w:t>
      </w:r>
    </w:p>
    <w:p>
      <w:r>
        <w:t>Mit derselben Zwischenverfügung wurde das Gesuch um Beigabe der rubrizierten Rechtsvertreterin als amtliche Rechtsbeiständin (Art. 110a Abs. 1 AsylG) gutgeheissen. Die Festsetzung des amtlichen Honorars erfolgt in Anwendung der Art. 8-11 sowie Art. 12 des Reglements vom 21. Februar 2008 über die Kosten und Entschädigungen vor dem Bundesverwaltungsgericht (VGKE, SR 173.320.2). Die eingereichte Kostennote weist einen Gesamtbetrag von Fr. 2'397.- aus (zeitlicher Aufwand 11.5 Stunden zu Fr. 200.-, Fr. 50.- als Dossiereröffnungspauschale, Fr. 7.- für Porto sowie Dolmetscherkosten von Fr. 40.-). Der ausgewiesene Aufwand erscheint nicht vollumfänglich notwendig im Sinne von Art. 64 Abs. 1 VwVG und ist als überhöht zu beurteilen. Unter Berücksichtigung der massgebenden Bemessungsfaktoren (Art. 9-13 VGKE) und der Entschädigungspraxis des Bundesverwaltungsgerichts von maximal Fr. 150.- für nichtanwaltliche Rechtsvertretungen ist das Honorar auf total Fr. 1'200.- (inkl.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